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35DE" w14:textId="0B0A1729" w:rsidR="00CA25FB" w:rsidRPr="00C46B3C" w:rsidRDefault="00606706" w:rsidP="00CA25FB">
      <w:pPr>
        <w:pStyle w:val="MDPI11articletype"/>
        <w:rPr>
          <w:rFonts w:ascii="Times New Roman" w:hAnsi="Times New Roman"/>
        </w:rPr>
      </w:pPr>
      <w:r>
        <w:t>Review Article</w:t>
      </w:r>
    </w:p>
    <w:tbl>
      <w:tblPr>
        <w:tblpPr w:vertAnchor="page" w:horzAnchor="page" w:tblpX="9347" w:tblpY="9404"/>
        <w:tblW w:w="2595" w:type="dxa"/>
        <w:tblLayout w:type="fixed"/>
        <w:tblCellMar>
          <w:left w:w="0" w:type="dxa"/>
          <w:right w:w="0" w:type="dxa"/>
        </w:tblCellMar>
        <w:tblLook w:val="04A0" w:firstRow="1" w:lastRow="0" w:firstColumn="1" w:lastColumn="0" w:noHBand="0" w:noVBand="1"/>
      </w:tblPr>
      <w:tblGrid>
        <w:gridCol w:w="2595"/>
      </w:tblGrid>
      <w:tr w:rsidR="00CA25FB" w:rsidRPr="00C46B3C" w14:paraId="6A6A9BD3" w14:textId="77777777" w:rsidTr="00677630">
        <w:tc>
          <w:tcPr>
            <w:tcW w:w="2595" w:type="dxa"/>
          </w:tcPr>
          <w:p w14:paraId="769B41B5" w14:textId="5CD167C9" w:rsidR="00CA25FB" w:rsidRPr="00C46B3C" w:rsidRDefault="00CA25FB" w:rsidP="00677630">
            <w:pPr>
              <w:pStyle w:val="MDPI15academiceditor"/>
              <w:spacing w:after="120"/>
              <w:rPr>
                <w:rFonts w:ascii="Times New Roman" w:hAnsi="Times New Roman"/>
              </w:rPr>
            </w:pPr>
            <w:r w:rsidRPr="00C46B3C">
              <w:rPr>
                <w:rFonts w:ascii="Times New Roman" w:hAnsi="Times New Roman"/>
              </w:rPr>
              <w:t xml:space="preserve">Academic Editor: </w:t>
            </w:r>
            <w:r w:rsidR="00215578">
              <w:rPr>
                <w:rFonts w:ascii="Times New Roman" w:hAnsi="Times New Roman"/>
              </w:rPr>
              <w:t>Karla Santiago-Soltero, MD</w:t>
            </w:r>
          </w:p>
          <w:p w14:paraId="3D34A581" w14:textId="20172513" w:rsidR="00CA25FB" w:rsidRPr="00C46B3C" w:rsidRDefault="00CA25FB" w:rsidP="00677630">
            <w:pPr>
              <w:pStyle w:val="MDPI14history"/>
              <w:spacing w:before="120"/>
              <w:rPr>
                <w:rFonts w:ascii="Times New Roman" w:hAnsi="Times New Roman"/>
              </w:rPr>
            </w:pPr>
            <w:r w:rsidRPr="00C46B3C">
              <w:rPr>
                <w:rFonts w:ascii="Times New Roman" w:hAnsi="Times New Roman"/>
              </w:rPr>
              <w:t xml:space="preserve">Received: </w:t>
            </w:r>
            <w:r w:rsidR="007E702D">
              <w:rPr>
                <w:rFonts w:ascii="Times New Roman" w:hAnsi="Times New Roman"/>
              </w:rPr>
              <w:t>11/19/2025</w:t>
            </w:r>
          </w:p>
          <w:p w14:paraId="27BE1D28" w14:textId="362E58D5" w:rsidR="00CA25FB" w:rsidRPr="00C46B3C" w:rsidRDefault="00CA25FB" w:rsidP="00677630">
            <w:pPr>
              <w:pStyle w:val="MDPI14history"/>
              <w:rPr>
                <w:rFonts w:ascii="Times New Roman" w:hAnsi="Times New Roman"/>
              </w:rPr>
            </w:pPr>
            <w:r w:rsidRPr="00C46B3C">
              <w:rPr>
                <w:rFonts w:ascii="Times New Roman" w:hAnsi="Times New Roman"/>
              </w:rPr>
              <w:t xml:space="preserve">Revised: </w:t>
            </w:r>
            <w:r w:rsidR="007E702D">
              <w:rPr>
                <w:rFonts w:ascii="Times New Roman" w:hAnsi="Times New Roman"/>
              </w:rPr>
              <w:t>1/8/2026</w:t>
            </w:r>
          </w:p>
          <w:p w14:paraId="43715276" w14:textId="60731394" w:rsidR="00CA25FB" w:rsidRPr="00C46B3C" w:rsidRDefault="00CA25FB" w:rsidP="00677630">
            <w:pPr>
              <w:pStyle w:val="MDPI14history"/>
              <w:rPr>
                <w:rFonts w:ascii="Times New Roman" w:hAnsi="Times New Roman"/>
              </w:rPr>
            </w:pPr>
            <w:r w:rsidRPr="00C46B3C">
              <w:rPr>
                <w:rFonts w:ascii="Times New Roman" w:hAnsi="Times New Roman"/>
              </w:rPr>
              <w:t xml:space="preserve">Accepted: </w:t>
            </w:r>
            <w:r w:rsidR="007E702D">
              <w:rPr>
                <w:rFonts w:ascii="Times New Roman" w:hAnsi="Times New Roman"/>
              </w:rPr>
              <w:t>1/28/2026</w:t>
            </w:r>
          </w:p>
          <w:p w14:paraId="46E1D339" w14:textId="77777777" w:rsidR="00CA25FB" w:rsidRPr="00C46B3C" w:rsidRDefault="00CA25FB" w:rsidP="00677630">
            <w:pPr>
              <w:adjustRightInd w:val="0"/>
              <w:snapToGrid w:val="0"/>
              <w:spacing w:before="120" w:line="240" w:lineRule="atLeast"/>
              <w:ind w:right="113"/>
              <w:jc w:val="left"/>
              <w:rPr>
                <w:rFonts w:ascii="Times New Roman" w:eastAsia="DengXian" w:hAnsi="Times New Roman"/>
                <w:bCs/>
                <w:sz w:val="14"/>
                <w:szCs w:val="14"/>
                <w:lang w:bidi="en-US"/>
              </w:rPr>
            </w:pPr>
            <w:r w:rsidRPr="00C46B3C">
              <w:rPr>
                <w:rFonts w:ascii="Times New Roman" w:eastAsia="DengXian" w:hAnsi="Times New Roman"/>
                <w:noProof/>
              </w:rPr>
              <w:drawing>
                <wp:inline distT="0" distB="0" distL="0" distR="0" wp14:anchorId="16E8DB93" wp14:editId="7E3C5BC8">
                  <wp:extent cx="692785" cy="249555"/>
                  <wp:effectExtent l="0" t="0" r="0" b="0"/>
                  <wp:docPr id="3" name="Picture 4" descr="A grey and black sign with a person in a circle&#10;&#10;Description automatically generated">
                    <a:extLst xmlns:a="http://schemas.openxmlformats.org/drawingml/2006/main">
                      <a:ext uri="{FF2B5EF4-FFF2-40B4-BE49-F238E27FC236}">
                        <a16:creationId xmlns:a16="http://schemas.microsoft.com/office/drawing/2014/main" id="{239BA021-09DC-47E2-86B3-960CA402C2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y and black sign with a person in a circ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6071021A" w14:textId="0C8EB6D2" w:rsidR="00CA25FB" w:rsidRPr="00C46B3C" w:rsidRDefault="00CA25FB" w:rsidP="00677630">
            <w:pPr>
              <w:pStyle w:val="MDPI72Copyright"/>
              <w:rPr>
                <w:rFonts w:ascii="Times New Roman" w:eastAsia="DengXian" w:hAnsi="Times New Roman"/>
                <w:lang w:bidi="en-US"/>
              </w:rPr>
            </w:pPr>
            <w:r w:rsidRPr="00C46B3C">
              <w:rPr>
                <w:rFonts w:ascii="Times New Roman" w:eastAsia="DengXian" w:hAnsi="Times New Roman"/>
                <w:b/>
                <w:lang w:bidi="en-US"/>
              </w:rPr>
              <w:t>Copyright:</w:t>
            </w:r>
            <w:r w:rsidRPr="00C46B3C">
              <w:rPr>
                <w:rFonts w:ascii="Times New Roman" w:eastAsia="DengXian" w:hAnsi="Times New Roman"/>
                <w:lang w:bidi="en-US"/>
              </w:rPr>
              <w:t xml:space="preserve"> © 202</w:t>
            </w:r>
            <w:r w:rsidR="00C46B3C">
              <w:rPr>
                <w:rFonts w:ascii="Times New Roman" w:eastAsia="DengXian" w:hAnsi="Times New Roman"/>
                <w:lang w:bidi="en-US"/>
              </w:rPr>
              <w:t>6</w:t>
            </w:r>
            <w:r w:rsidRPr="00C46B3C">
              <w:rPr>
                <w:rFonts w:ascii="Times New Roman" w:eastAsia="DengXian" w:hAnsi="Times New Roman"/>
                <w:lang w:bidi="en-US"/>
              </w:rPr>
              <w:t xml:space="preserve"> by the authors. Submitted for possible open access publication under the terms and conditions of the Creative Commons Attribution (CC BY) license (https://creativecommons.org/licenses/by/4.0/).</w:t>
            </w:r>
          </w:p>
        </w:tc>
      </w:tr>
    </w:tbl>
    <w:p w14:paraId="4ADC63BC" w14:textId="4F16B791" w:rsidR="00251314" w:rsidRPr="00C46B3C" w:rsidRDefault="00251314" w:rsidP="00C46B3C">
      <w:pPr>
        <w:pStyle w:val="MDPI13authornames"/>
        <w:spacing w:line="240" w:lineRule="auto"/>
        <w:rPr>
          <w:rFonts w:ascii="Times New Roman" w:hAnsi="Times New Roman"/>
          <w:bCs/>
          <w:snapToGrid w:val="0"/>
          <w:sz w:val="36"/>
        </w:rPr>
      </w:pPr>
      <w:r w:rsidRPr="00C46B3C">
        <w:rPr>
          <w:rFonts w:ascii="Times New Roman" w:hAnsi="Times New Roman"/>
          <w:bCs/>
          <w:snapToGrid w:val="0"/>
          <w:sz w:val="36"/>
        </w:rPr>
        <w:t>The risk of receiving multiple spinal x-rays during treatment of scoliosis: analysis based on 2025 standards.</w:t>
      </w:r>
    </w:p>
    <w:p w14:paraId="70DC5FEA" w14:textId="4EADDC5D" w:rsidR="00CA25FB" w:rsidRPr="00C46B3C" w:rsidRDefault="008E7112" w:rsidP="00C46B3C">
      <w:pPr>
        <w:pStyle w:val="MDPI13authornames"/>
        <w:spacing w:line="240" w:lineRule="auto"/>
        <w:rPr>
          <w:rFonts w:ascii="Times New Roman" w:hAnsi="Times New Roman"/>
        </w:rPr>
      </w:pPr>
      <w:r w:rsidRPr="00C46B3C">
        <w:rPr>
          <w:rFonts w:ascii="Times New Roman" w:hAnsi="Times New Roman"/>
        </w:rPr>
        <w:t>Kevin</w:t>
      </w:r>
      <w:r w:rsidR="00CA25FB" w:rsidRPr="00C46B3C">
        <w:rPr>
          <w:rFonts w:ascii="Times New Roman" w:hAnsi="Times New Roman"/>
        </w:rPr>
        <w:t xml:space="preserve"> </w:t>
      </w:r>
      <w:r w:rsidRPr="00C46B3C">
        <w:rPr>
          <w:rFonts w:ascii="Times New Roman" w:hAnsi="Times New Roman"/>
        </w:rPr>
        <w:t>Orellana</w:t>
      </w:r>
      <w:r w:rsidR="00CA25FB" w:rsidRPr="00C46B3C">
        <w:rPr>
          <w:rFonts w:ascii="Times New Roman" w:hAnsi="Times New Roman"/>
          <w:vertAlign w:val="superscript"/>
        </w:rPr>
        <w:t>1</w:t>
      </w:r>
      <w:r w:rsidR="00C46B3C" w:rsidRPr="00C46B3C">
        <w:rPr>
          <w:rFonts w:ascii="Times New Roman" w:hAnsi="Times New Roman"/>
          <w:vertAlign w:val="superscript"/>
        </w:rPr>
        <w:t>*</w:t>
      </w:r>
      <w:r w:rsidR="00CA25FB" w:rsidRPr="00C46B3C">
        <w:rPr>
          <w:rFonts w:ascii="Times New Roman" w:hAnsi="Times New Roman"/>
        </w:rPr>
        <w:t xml:space="preserve">, </w:t>
      </w:r>
      <w:r w:rsidRPr="00C46B3C">
        <w:rPr>
          <w:rFonts w:ascii="Times New Roman" w:hAnsi="Times New Roman"/>
        </w:rPr>
        <w:t>Patrick</w:t>
      </w:r>
      <w:r w:rsidR="00CA25FB" w:rsidRPr="00C46B3C">
        <w:rPr>
          <w:rFonts w:ascii="Times New Roman" w:hAnsi="Times New Roman"/>
        </w:rPr>
        <w:t xml:space="preserve"> </w:t>
      </w:r>
      <w:r w:rsidRPr="00C46B3C">
        <w:rPr>
          <w:rFonts w:ascii="Times New Roman" w:hAnsi="Times New Roman"/>
        </w:rPr>
        <w:t>Knott</w:t>
      </w:r>
      <w:r w:rsidR="00CA25FB" w:rsidRPr="00C46B3C">
        <w:rPr>
          <w:rFonts w:ascii="Times New Roman" w:hAnsi="Times New Roman"/>
          <w:vertAlign w:val="superscript"/>
        </w:rPr>
        <w:t>2</w:t>
      </w:r>
      <w:r w:rsidR="00CA25FB" w:rsidRPr="00C46B3C">
        <w:rPr>
          <w:rFonts w:ascii="Times New Roman" w:hAnsi="Times New Roman"/>
        </w:rPr>
        <w:t xml:space="preserve"> </w:t>
      </w:r>
    </w:p>
    <w:p w14:paraId="5158835A" w14:textId="539E9FC9" w:rsidR="00CA25FB" w:rsidRPr="00C46B3C" w:rsidRDefault="00CA25FB" w:rsidP="00D43064">
      <w:pPr>
        <w:pStyle w:val="MDPI16affiliation"/>
        <w:ind w:left="270" w:right="2546"/>
        <w:rPr>
          <w:rFonts w:ascii="Times New Roman" w:hAnsi="Times New Roman"/>
        </w:rPr>
      </w:pPr>
      <w:r w:rsidRPr="00C46B3C">
        <w:rPr>
          <w:rFonts w:ascii="Times New Roman" w:hAnsi="Times New Roman"/>
          <w:vertAlign w:val="superscript"/>
        </w:rPr>
        <w:t>1</w:t>
      </w:r>
      <w:r w:rsidR="001175CF" w:rsidRPr="00C46B3C">
        <w:rPr>
          <w:rFonts w:ascii="Times New Roman" w:hAnsi="Times New Roman"/>
        </w:rPr>
        <w:t>Ponce Health Sciences University</w:t>
      </w:r>
      <w:r w:rsidR="00C46B3C">
        <w:rPr>
          <w:rFonts w:ascii="Times New Roman" w:hAnsi="Times New Roman"/>
        </w:rPr>
        <w:t>, Ponce, PR</w:t>
      </w:r>
    </w:p>
    <w:p w14:paraId="4BB3EA63" w14:textId="4C68C37C" w:rsidR="00CA25FB" w:rsidRPr="00C46B3C" w:rsidRDefault="00CA25FB" w:rsidP="00CA25FB">
      <w:pPr>
        <w:pStyle w:val="MDPI16affiliation"/>
        <w:ind w:left="270" w:right="2546"/>
        <w:rPr>
          <w:rFonts w:ascii="Times New Roman" w:hAnsi="Times New Roman"/>
        </w:rPr>
      </w:pPr>
      <w:r w:rsidRPr="00C46B3C">
        <w:rPr>
          <w:rFonts w:ascii="Times New Roman" w:hAnsi="Times New Roman"/>
          <w:vertAlign w:val="superscript"/>
        </w:rPr>
        <w:t>2</w:t>
      </w:r>
      <w:r w:rsidR="001175CF" w:rsidRPr="00C46B3C">
        <w:rPr>
          <w:rFonts w:ascii="Times New Roman" w:hAnsi="Times New Roman"/>
        </w:rPr>
        <w:t>Rosalind Franklin University</w:t>
      </w:r>
      <w:r w:rsidR="00C46B3C">
        <w:rPr>
          <w:rFonts w:ascii="Times New Roman" w:hAnsi="Times New Roman"/>
        </w:rPr>
        <w:t>, Chicago, IL</w:t>
      </w:r>
    </w:p>
    <w:p w14:paraId="5033B7DF" w14:textId="6DBCD6F6" w:rsidR="00CA25FB" w:rsidRDefault="00CA25FB" w:rsidP="00CA25FB">
      <w:pPr>
        <w:pStyle w:val="MDPI16affiliation"/>
        <w:ind w:left="270" w:right="2546"/>
        <w:rPr>
          <w:rFonts w:ascii="Times New Roman" w:hAnsi="Times New Roman"/>
        </w:rPr>
      </w:pPr>
      <w:r w:rsidRPr="00C46B3C">
        <w:rPr>
          <w:rFonts w:ascii="Times New Roman" w:hAnsi="Times New Roman"/>
          <w:b/>
        </w:rPr>
        <w:t>*</w:t>
      </w:r>
      <w:r w:rsidRPr="00C46B3C">
        <w:rPr>
          <w:rFonts w:ascii="Times New Roman" w:hAnsi="Times New Roman"/>
        </w:rPr>
        <w:t xml:space="preserve">Correspondence: </w:t>
      </w:r>
      <w:hyperlink r:id="rId8" w:history="1">
        <w:r w:rsidR="00215578" w:rsidRPr="005E12D4">
          <w:rPr>
            <w:rStyle w:val="Hyperlink"/>
            <w:rFonts w:ascii="Times New Roman" w:hAnsi="Times New Roman"/>
          </w:rPr>
          <w:t>korellana24@stu.psm.edu</w:t>
        </w:r>
      </w:hyperlink>
    </w:p>
    <w:p w14:paraId="6D33B21F" w14:textId="79E17891" w:rsidR="00215578" w:rsidRPr="00215578" w:rsidRDefault="00215578" w:rsidP="00CA25FB">
      <w:pPr>
        <w:pStyle w:val="MDPI16affiliation"/>
        <w:ind w:left="270" w:right="2546"/>
        <w:rPr>
          <w:rFonts w:ascii="Times New Roman" w:hAnsi="Times New Roman"/>
          <w:bCs/>
        </w:rPr>
      </w:pPr>
      <w:r w:rsidRPr="00215578">
        <w:rPr>
          <w:rFonts w:ascii="Times New Roman" w:hAnsi="Times New Roman"/>
          <w:bCs/>
        </w:rPr>
        <w:t>DOI:</w:t>
      </w:r>
      <w:r w:rsidR="000C6D19">
        <w:rPr>
          <w:rFonts w:ascii="Times New Roman" w:hAnsi="Times New Roman"/>
          <w:bCs/>
        </w:rPr>
        <w:t xml:space="preserve"> </w:t>
      </w:r>
      <w:r w:rsidR="000C6D19" w:rsidRPr="000C6D19">
        <w:rPr>
          <w:rFonts w:ascii="Times New Roman" w:hAnsi="Times New Roman"/>
          <w:bCs/>
        </w:rPr>
        <w:t>10.71332/yvk3pq91</w:t>
      </w:r>
    </w:p>
    <w:p w14:paraId="6B21D308" w14:textId="110A958B" w:rsidR="00CA25FB" w:rsidRPr="00C46B3C" w:rsidRDefault="00CA25FB" w:rsidP="0068698C">
      <w:pPr>
        <w:pStyle w:val="MDPI17abstract"/>
        <w:ind w:left="270" w:right="2466"/>
        <w:rPr>
          <w:rFonts w:ascii="Times New Roman" w:hAnsi="Times New Roman"/>
          <w:szCs w:val="18"/>
        </w:rPr>
      </w:pPr>
      <w:r w:rsidRPr="00C46B3C">
        <w:rPr>
          <w:rFonts w:ascii="Times New Roman" w:hAnsi="Times New Roman"/>
          <w:b/>
          <w:szCs w:val="18"/>
        </w:rPr>
        <w:t xml:space="preserve">Abstract: </w:t>
      </w:r>
      <w:r w:rsidR="00412E28" w:rsidRPr="00C46B3C">
        <w:rPr>
          <w:rFonts w:ascii="Times New Roman" w:hAnsi="Times New Roman"/>
          <w:szCs w:val="18"/>
        </w:rPr>
        <w:t>Scoliosis is a deformity of the spine in all three planes. The most common types emerge in otherwise healthy children during adolescent growth. Spine imaging is required for diagnosis and surveillance to determine whether the deformity is progressing. Epidemiologic studies that looked at the long-term effects of receiving multiple spine x-rays in childhood showed a concerning increase in adult malignancy. However, many of those studies were based on exposure from x-ray equipment 50 or more years ago. This paper examines the current risk of receiving necessary spinal x-rays using modern equipment and up to date exposure recommendations from the leading medical organizations. Using example treatment scenarios, children are receiving x-ray exposure that is well below the safe limits</w:t>
      </w:r>
      <w:r w:rsidR="007B65B3" w:rsidRPr="00C46B3C">
        <w:rPr>
          <w:rFonts w:ascii="Times New Roman" w:hAnsi="Times New Roman"/>
          <w:szCs w:val="18"/>
        </w:rPr>
        <w:t xml:space="preserve">. </w:t>
      </w:r>
      <w:r w:rsidR="00184B67" w:rsidRPr="00C46B3C">
        <w:rPr>
          <w:rFonts w:ascii="Times New Roman" w:hAnsi="Times New Roman"/>
          <w:color w:val="000000" w:themeColor="text1"/>
        </w:rPr>
        <w:t>Results show that cumulative radiation doses in adolescents with typical AIS range from 2.04 – 12.21 mSv, a safe cumulative dosage, while the most extreme cases would reach up to 28.45 mSv, a slight increase in risk.</w:t>
      </w:r>
    </w:p>
    <w:p w14:paraId="08A0D650" w14:textId="79EE3829" w:rsidR="00D43064" w:rsidRPr="00C46B3C" w:rsidRDefault="00CA25FB" w:rsidP="0068698C">
      <w:pPr>
        <w:pStyle w:val="MDPI18keywords"/>
        <w:ind w:left="270" w:right="2466"/>
        <w:rPr>
          <w:rFonts w:ascii="Times New Roman" w:hAnsi="Times New Roman"/>
          <w:szCs w:val="18"/>
        </w:rPr>
      </w:pPr>
      <w:r w:rsidRPr="00C46B3C">
        <w:rPr>
          <w:rFonts w:ascii="Times New Roman" w:hAnsi="Times New Roman"/>
          <w:b/>
          <w:szCs w:val="18"/>
        </w:rPr>
        <w:t xml:space="preserve">Keywords: </w:t>
      </w:r>
      <w:r w:rsidR="00412E28" w:rsidRPr="00C46B3C">
        <w:rPr>
          <w:rFonts w:ascii="Times New Roman" w:hAnsi="Times New Roman"/>
          <w:szCs w:val="18"/>
        </w:rPr>
        <w:t>Scoliosis; Diagnostic Imaging; Risk Reduction</w:t>
      </w:r>
    </w:p>
    <w:p w14:paraId="2F3A6840" w14:textId="77777777" w:rsidR="0093563D" w:rsidRPr="00C46B3C" w:rsidRDefault="0093563D" w:rsidP="0093563D">
      <w:pPr>
        <w:rPr>
          <w:rFonts w:ascii="Times New Roman" w:hAnsi="Times New Roman"/>
          <w:lang w:eastAsia="de-DE" w:bidi="en-US"/>
        </w:rPr>
      </w:pPr>
    </w:p>
    <w:p w14:paraId="4208505B" w14:textId="77777777" w:rsidR="0093563D" w:rsidRPr="00C46B3C" w:rsidRDefault="0093563D" w:rsidP="0093563D">
      <w:pPr>
        <w:pStyle w:val="MDPI21heading1"/>
        <w:spacing w:before="0"/>
        <w:ind w:left="270" w:right="2466"/>
        <w:rPr>
          <w:rFonts w:ascii="Times New Roman" w:hAnsi="Times New Roman"/>
          <w:lang w:eastAsia="zh-CN"/>
        </w:rPr>
      </w:pPr>
      <w:r w:rsidRPr="00C46B3C">
        <w:rPr>
          <w:rFonts w:ascii="Times New Roman" w:hAnsi="Times New Roman"/>
          <w:noProof/>
          <w:snapToGrid/>
          <w:lang w:eastAsia="zh-CN"/>
          <w14:ligatures w14:val="standardContextual"/>
        </w:rPr>
        <mc:AlternateContent>
          <mc:Choice Requires="wps">
            <w:drawing>
              <wp:anchor distT="0" distB="0" distL="114300" distR="114300" simplePos="0" relativeHeight="251658240" behindDoc="0" locked="0" layoutInCell="1" allowOverlap="1" wp14:anchorId="53FF8960" wp14:editId="0D460B4F">
                <wp:simplePos x="0" y="0"/>
                <wp:positionH relativeFrom="column">
                  <wp:posOffset>201930</wp:posOffset>
                </wp:positionH>
                <wp:positionV relativeFrom="paragraph">
                  <wp:posOffset>19320</wp:posOffset>
                </wp:positionV>
                <wp:extent cx="4984230" cy="0"/>
                <wp:effectExtent l="0" t="12700" r="19685" b="12700"/>
                <wp:wrapNone/>
                <wp:docPr id="1997259489" name="Straight Connector 1">
                  <a:extLst xmlns:a="http://schemas.openxmlformats.org/drawingml/2006/main">
                    <a:ext uri="{FF2B5EF4-FFF2-40B4-BE49-F238E27FC236}">
                      <a16:creationId xmlns:a16="http://schemas.microsoft.com/office/drawing/2014/main" id="{FD73C653-F432-41C6-AFCA-77547EBB7BAD}"/>
                    </a:ext>
                  </a:extLst>
                </wp:docPr>
                <wp:cNvGraphicFramePr/>
                <a:graphic xmlns:a="http://schemas.openxmlformats.org/drawingml/2006/main">
                  <a:graphicData uri="http://schemas.microsoft.com/office/word/2010/wordprocessingShape">
                    <wps:wsp>
                      <wps:cNvCnPr/>
                      <wps:spPr>
                        <a:xfrm>
                          <a:off x="0" y="0"/>
                          <a:ext cx="4984230" cy="0"/>
                        </a:xfrm>
                        <a:prstGeom prst="line">
                          <a:avLst/>
                        </a:prstGeom>
                        <a:ln>
                          <a:solidFill>
                            <a:srgbClr val="009999"/>
                          </a:solidFill>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line w14:anchorId="145AE8B0" id="Straight Connector 1"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9pt,1.5pt" to="408.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5uAEAANUDAAAOAAAAZHJzL2Uyb0RvYy54bWysU8Fu2zAMvQ/oPwi6N3LSYmiNOD206C7D&#10;VmzrBygyFQuQREHSYufvRymJU2wDCgzzgbYkvsfHJ3r9MDnL9hCTQd/x5aLhDLzC3vhdx19/PF/f&#10;cZay9L206KHjB0j8YXP1YT2GFlY4oO0hMiLxqR1Dx4ecQytEUgM4mRYYwNOhxuhkpmXciT7Kkdid&#10;Faum+ShGjH2IqCAl2n06HvJN5dcaVP6qdYLMbMdJW64x1rgtUWzWst1FGQajTjLkP6hw0ngqOlM9&#10;ySzZz2j+oHJGRUyo80KhE6i1UVB7oG6WzW/dfB9kgNoLmZPCbFP6f7Tqy/7Rv0SyYQypTeElli4m&#10;HV15kz42VbMOs1kwZaZo8/b+7nZ1Q56q85m4AENM+ROgY+Wj49b40ods5f5zylSMUs8pZdv6EhNa&#10;0z8ba+si7raPNrK9LDfX3NNTLouAb9JoVaDior1+5YOFI+030Mz0pPamlq9jBTOtVAp8Xp54rafs&#10;AtMkYQY27wNP+QUKdeRm8Op98IyoldHnGeyMx/g3gjydJetj/tmBY9/Fgi32h3qr1Rqanercac7L&#10;cL5dV/jlb9z8AgAA//8DAFBLAwQUAAYACAAAACEAydxkE9oAAAAGAQAADwAAAGRycy9kb3ducmV2&#10;LnhtbEyPwU7DMBBE70j8g7VI3KgdipoqxKkQVW8coCDB0YmXJGCvI9ttw9+zcIHTaDSrmbf1ZvZO&#10;HDGmMZCGYqFAIHXBjtRreHneXa1BpGzIGhcINXxhgk1zflabyoYTPeFxn3vBJZQqo2HIeaqkTN2A&#10;3qRFmJA4ew/Rm8w29tJGc+Jy7+S1UivpzUi8MJgJ7wfsPvcHr6F8iNvt8jG+tupDuTepduqmdFpf&#10;Xsx3tyAyzvnvGH7wGR0aZmrDgWwSTsOyYPLMyh9xvC5WJYj218umlv/xm28AAAD//wMAUEsBAi0A&#10;FAAGAAgAAAAhALaDOJL+AAAA4QEAABMAAAAAAAAAAAAAAAAAAAAAAFtDb250ZW50X1R5cGVzXS54&#10;bWxQSwECLQAUAAYACAAAACEAOP0h/9YAAACUAQAACwAAAAAAAAAAAAAAAAAvAQAAX3JlbHMvLnJl&#10;bHNQSwECLQAUAAYACAAAACEAsvhaebgBAADVAwAADgAAAAAAAAAAAAAAAAAuAgAAZHJzL2Uyb0Rv&#10;Yy54bWxQSwECLQAUAAYACAAAACEAydxkE9oAAAAGAQAADwAAAAAAAAAAAAAAAAASBAAAZHJzL2Rv&#10;d25yZXYueG1sUEsFBgAAAAAEAAQA8wAAABkFAAAAAA==&#10;" strokecolor="#099" strokeweight="1.5pt">
                <v:stroke joinstyle="miter"/>
              </v:line>
            </w:pict>
          </mc:Fallback>
        </mc:AlternateContent>
      </w:r>
    </w:p>
    <w:p w14:paraId="4F5B91AE" w14:textId="77777777" w:rsidR="00677630" w:rsidRPr="00C46B3C" w:rsidRDefault="00677630" w:rsidP="0068698C">
      <w:pPr>
        <w:pStyle w:val="MDPI21heading1"/>
        <w:ind w:left="270" w:right="2466"/>
        <w:rPr>
          <w:rFonts w:ascii="Times New Roman" w:hAnsi="Times New Roman"/>
          <w:lang w:eastAsia="zh-CN"/>
        </w:rPr>
      </w:pPr>
      <w:r w:rsidRPr="00C46B3C">
        <w:rPr>
          <w:rFonts w:ascii="Times New Roman" w:hAnsi="Times New Roman"/>
          <w:lang w:eastAsia="zh-CN"/>
        </w:rPr>
        <w:t>1. Introduction</w:t>
      </w:r>
    </w:p>
    <w:p w14:paraId="14F95D36" w14:textId="4620E807" w:rsidR="00057580" w:rsidRPr="00C46B3C" w:rsidRDefault="00057580" w:rsidP="00057580">
      <w:pPr>
        <w:pStyle w:val="MDPI31text"/>
        <w:ind w:left="270" w:right="2466"/>
        <w:rPr>
          <w:rFonts w:ascii="Times New Roman" w:hAnsi="Times New Roman"/>
        </w:rPr>
      </w:pPr>
      <w:r w:rsidRPr="00C46B3C">
        <w:rPr>
          <w:rFonts w:ascii="Times New Roman" w:hAnsi="Times New Roman"/>
        </w:rPr>
        <w:t>Scoliosis is a condition in which the curvature of the spine in the frontal plane is greater than 10° (as measured by the Cobb Angle) and is accompanied by rotation of the spinal column in the axial plane.</w:t>
      </w:r>
      <w:r w:rsidR="00C46B3C">
        <w:rPr>
          <w:rFonts w:ascii="Times New Roman" w:hAnsi="Times New Roman"/>
        </w:rPr>
        <w:t xml:space="preserve"> </w:t>
      </w:r>
      <w:r w:rsidRPr="00C46B3C">
        <w:rPr>
          <w:rFonts w:ascii="Times New Roman" w:hAnsi="Times New Roman"/>
        </w:rPr>
        <w:t>Scoliosis can be classified into subtypes, including early onset, neuromuscular, syndromic, congenital, and even degenerative scoliosis in older adults</w:t>
      </w:r>
      <w:r w:rsidR="00C46B3C">
        <w:rPr>
          <w:rFonts w:ascii="Times New Roman" w:hAnsi="Times New Roman"/>
        </w:rPr>
        <w:t xml:space="preserve"> [1].</w:t>
      </w:r>
      <w:r w:rsidRPr="00C46B3C">
        <w:rPr>
          <w:rFonts w:ascii="Times New Roman" w:hAnsi="Times New Roman"/>
        </w:rPr>
        <w:t xml:space="preserve"> Adolescent Idiopathic Scoliosis (AIS) is the most common form of scoliosis, accounting for 80-85% of all case types in children and young adults. The prevalence of AIS with a Cobb angle &gt;10° in the general population is about 3%, but only one in ten of those patients have progression of their curve to a magnitude that requires treatment. The female to male ratio is 1.4:1 in small curves, but as high as 9:1 in larger curves, with the risk of curve progression also significantly higher in females than in males</w:t>
      </w:r>
      <w:r w:rsidR="005B3D8D">
        <w:rPr>
          <w:rFonts w:ascii="Times New Roman" w:hAnsi="Times New Roman"/>
        </w:rPr>
        <w:t xml:space="preserve"> [2].</w:t>
      </w:r>
    </w:p>
    <w:p w14:paraId="3D798CE6" w14:textId="77777777" w:rsidR="00057580" w:rsidRPr="00C46B3C" w:rsidRDefault="00057580" w:rsidP="00057580">
      <w:pPr>
        <w:pStyle w:val="MDPI31text"/>
        <w:ind w:left="270" w:right="2466"/>
        <w:rPr>
          <w:rFonts w:ascii="Times New Roman" w:hAnsi="Times New Roman"/>
        </w:rPr>
      </w:pPr>
    </w:p>
    <w:p w14:paraId="7B1F3ACD" w14:textId="05186526" w:rsidR="00057580" w:rsidRPr="00C46B3C" w:rsidRDefault="00057580" w:rsidP="00057580">
      <w:pPr>
        <w:pStyle w:val="MDPI31text"/>
        <w:ind w:left="270" w:right="2466"/>
        <w:rPr>
          <w:rFonts w:ascii="Times New Roman" w:hAnsi="Times New Roman"/>
        </w:rPr>
      </w:pPr>
      <w:r w:rsidRPr="00C46B3C">
        <w:rPr>
          <w:rFonts w:ascii="Times New Roman" w:hAnsi="Times New Roman"/>
        </w:rPr>
        <w:t xml:space="preserve">When children </w:t>
      </w:r>
      <w:r w:rsidR="005B3D8D">
        <w:rPr>
          <w:rFonts w:ascii="Times New Roman" w:hAnsi="Times New Roman"/>
        </w:rPr>
        <w:t>experience</w:t>
      </w:r>
      <w:r w:rsidRPr="00C46B3C">
        <w:rPr>
          <w:rFonts w:ascii="Times New Roman" w:hAnsi="Times New Roman"/>
        </w:rPr>
        <w:t xml:space="preserve"> a growth spurt, the risk of curve progression is at its highest, making it important to diagnose the condition in its early stages.</w:t>
      </w:r>
      <w:r w:rsidR="005B3D8D">
        <w:rPr>
          <w:rFonts w:ascii="Times New Roman" w:hAnsi="Times New Roman"/>
        </w:rPr>
        <w:t xml:space="preserve"> </w:t>
      </w:r>
      <w:r w:rsidRPr="00C46B3C">
        <w:rPr>
          <w:rFonts w:ascii="Times New Roman" w:hAnsi="Times New Roman"/>
        </w:rPr>
        <w:t>When caught early, the curve is carefully monitored by periodic physical examination and spinal x-ray. AIS is usually first noticed by the patient or caregivers, during school-based scoliosis screening, or as an incidental finding during pediatric physical examinations</w:t>
      </w:r>
      <w:r w:rsidR="005B3D8D">
        <w:rPr>
          <w:rFonts w:ascii="Times New Roman" w:hAnsi="Times New Roman"/>
        </w:rPr>
        <w:t xml:space="preserve"> [3].</w:t>
      </w:r>
    </w:p>
    <w:p w14:paraId="781FD636" w14:textId="77777777" w:rsidR="00057580" w:rsidRPr="00C46B3C" w:rsidRDefault="00057580" w:rsidP="00057580">
      <w:pPr>
        <w:pStyle w:val="MDPI31text"/>
        <w:ind w:left="270" w:right="2466"/>
        <w:rPr>
          <w:rFonts w:ascii="Times New Roman" w:hAnsi="Times New Roman"/>
        </w:rPr>
      </w:pPr>
    </w:p>
    <w:p w14:paraId="7869CCAD" w14:textId="4E19468D" w:rsidR="00057580" w:rsidRPr="00C46B3C" w:rsidRDefault="00057580" w:rsidP="00057580">
      <w:pPr>
        <w:pStyle w:val="MDPI31text"/>
        <w:ind w:left="270" w:right="2466"/>
        <w:rPr>
          <w:rFonts w:ascii="Times New Roman" w:hAnsi="Times New Roman"/>
        </w:rPr>
      </w:pPr>
      <w:r w:rsidRPr="00C46B3C">
        <w:rPr>
          <w:rFonts w:ascii="Times New Roman" w:hAnsi="Times New Roman"/>
        </w:rPr>
        <w:t>In patients with AIS, the risk of curve progression is based on age, gender, skeletal maturity, and curve magnitude, with larger curves in younger female patients carrying the highest risk. Approximately two-thirds of skeletally immature patients will progress to some extent before they reach skeletal maturity</w:t>
      </w:r>
      <w:r w:rsidR="005B3D8D">
        <w:rPr>
          <w:rFonts w:ascii="Times New Roman" w:hAnsi="Times New Roman"/>
        </w:rPr>
        <w:t xml:space="preserve"> [1]</w:t>
      </w:r>
      <w:r w:rsidRPr="00C46B3C">
        <w:rPr>
          <w:rFonts w:ascii="Times New Roman" w:hAnsi="Times New Roman"/>
        </w:rPr>
        <w:t>. Research continues to define each of these factors in the development of a more accurate predictive model. Until curve progression can be predicted in each patient, surveillance remains a very important part of patient care</w:t>
      </w:r>
      <w:r w:rsidR="005B3D8D">
        <w:rPr>
          <w:rFonts w:ascii="Times New Roman" w:hAnsi="Times New Roman"/>
        </w:rPr>
        <w:t xml:space="preserve"> [4-6]</w:t>
      </w:r>
      <w:r w:rsidRPr="00C46B3C">
        <w:rPr>
          <w:rFonts w:ascii="Times New Roman" w:hAnsi="Times New Roman"/>
        </w:rPr>
        <w:t>.</w:t>
      </w:r>
    </w:p>
    <w:p w14:paraId="0DDDFAD1" w14:textId="77777777" w:rsidR="00057580" w:rsidRPr="00C46B3C" w:rsidRDefault="00057580" w:rsidP="00057580">
      <w:pPr>
        <w:pStyle w:val="MDPI31text"/>
        <w:ind w:left="270" w:right="2466"/>
        <w:rPr>
          <w:rFonts w:ascii="Times New Roman" w:hAnsi="Times New Roman"/>
        </w:rPr>
      </w:pPr>
    </w:p>
    <w:p w14:paraId="01211130" w14:textId="4992670A" w:rsidR="00057580" w:rsidRPr="00C46B3C" w:rsidRDefault="00057580" w:rsidP="005B3D8D">
      <w:pPr>
        <w:pStyle w:val="MDPI31text"/>
        <w:ind w:left="270" w:right="2466"/>
        <w:rPr>
          <w:rFonts w:ascii="Times New Roman" w:hAnsi="Times New Roman"/>
        </w:rPr>
      </w:pPr>
      <w:r w:rsidRPr="00C46B3C">
        <w:rPr>
          <w:rFonts w:ascii="Times New Roman" w:hAnsi="Times New Roman"/>
        </w:rPr>
        <w:lastRenderedPageBreak/>
        <w:t>Surveillance for curve progression consists of regular clinical appointments for physical examination and scheduled radiographic imaging.</w:t>
      </w:r>
      <w:r w:rsidR="005B3D8D">
        <w:rPr>
          <w:rFonts w:ascii="Times New Roman" w:hAnsi="Times New Roman"/>
        </w:rPr>
        <w:t xml:space="preserve"> </w:t>
      </w:r>
      <w:r w:rsidRPr="00C46B3C">
        <w:rPr>
          <w:rFonts w:ascii="Times New Roman" w:hAnsi="Times New Roman"/>
        </w:rPr>
        <w:t xml:space="preserve">The goal of surveillance is to catch curve progression and offer treatment before the Cobb Angle reaches 40°. Curves that reach 50° are often candidates for surgical intervention. Treatment to prevent surgery consists of rigid bracing of the trunk to harness the remaining growth, and scoliosis-specific physical therapy exercises focusing on elongation of the spinal posture and de-rotation of the curve. The frequency of follow-up visits and </w:t>
      </w:r>
      <w:r w:rsidR="005B3D8D">
        <w:rPr>
          <w:rFonts w:ascii="Times New Roman" w:hAnsi="Times New Roman"/>
        </w:rPr>
        <w:t>x</w:t>
      </w:r>
      <w:r w:rsidRPr="00C46B3C">
        <w:rPr>
          <w:rFonts w:ascii="Times New Roman" w:hAnsi="Times New Roman"/>
        </w:rPr>
        <w:t>-rays depends on the severity of the spinal curve and the skeletal maturity of the patient. In younger children with more growth remaining</w:t>
      </w:r>
      <w:r w:rsidR="005B3D8D">
        <w:rPr>
          <w:rFonts w:ascii="Times New Roman" w:hAnsi="Times New Roman"/>
        </w:rPr>
        <w:t>,</w:t>
      </w:r>
      <w:r w:rsidRPr="00C46B3C">
        <w:rPr>
          <w:rFonts w:ascii="Times New Roman" w:hAnsi="Times New Roman"/>
        </w:rPr>
        <w:t xml:space="preserve"> patients are observed radiographically every 4-6 months until skeletal maturity. In children with little growth remaining, patients are observed radiographically every 6-12 months until skeletal maturity</w:t>
      </w:r>
      <w:r w:rsidR="005B3D8D">
        <w:rPr>
          <w:rFonts w:ascii="Times New Roman" w:hAnsi="Times New Roman"/>
        </w:rPr>
        <w:t xml:space="preserve"> [1]</w:t>
      </w:r>
      <w:r w:rsidRPr="00C46B3C">
        <w:rPr>
          <w:rFonts w:ascii="Times New Roman" w:hAnsi="Times New Roman"/>
        </w:rPr>
        <w:t>.</w:t>
      </w:r>
      <w:r w:rsidR="005B3D8D">
        <w:rPr>
          <w:rFonts w:ascii="Times New Roman" w:hAnsi="Times New Roman"/>
        </w:rPr>
        <w:t xml:space="preserve"> We sought to understand, g</w:t>
      </w:r>
      <w:r w:rsidRPr="00C46B3C">
        <w:rPr>
          <w:rFonts w:ascii="Times New Roman" w:hAnsi="Times New Roman"/>
        </w:rPr>
        <w:t>the need for surveillance and radiographic follow up in this population, do these necessary x-rays pose harm to the patients due to repeated exposure?</w:t>
      </w:r>
    </w:p>
    <w:p w14:paraId="6C9D2013" w14:textId="77777777" w:rsidR="00057580" w:rsidRPr="00C46B3C" w:rsidRDefault="00057580" w:rsidP="00057580">
      <w:pPr>
        <w:pStyle w:val="MDPI31text"/>
        <w:ind w:left="270" w:right="2466"/>
        <w:rPr>
          <w:rFonts w:ascii="Times New Roman" w:hAnsi="Times New Roman"/>
          <w:u w:val="single"/>
        </w:rPr>
      </w:pPr>
    </w:p>
    <w:p w14:paraId="62E4573D" w14:textId="2511109E" w:rsidR="00057580" w:rsidRPr="00C46B3C" w:rsidRDefault="00057580" w:rsidP="005B3D8D">
      <w:pPr>
        <w:pStyle w:val="MDPI31text"/>
        <w:ind w:left="270" w:right="2466"/>
        <w:rPr>
          <w:rFonts w:ascii="Times New Roman" w:hAnsi="Times New Roman"/>
          <w:u w:val="single"/>
        </w:rPr>
      </w:pPr>
      <w:r w:rsidRPr="00C46B3C">
        <w:rPr>
          <w:rFonts w:ascii="Times New Roman" w:hAnsi="Times New Roman"/>
        </w:rPr>
        <w:t xml:space="preserve">Due to </w:t>
      </w:r>
      <w:r w:rsidR="005B3D8D">
        <w:rPr>
          <w:rFonts w:ascii="Times New Roman" w:hAnsi="Times New Roman"/>
        </w:rPr>
        <w:t xml:space="preserve">the need for </w:t>
      </w:r>
      <w:r w:rsidRPr="00C46B3C">
        <w:rPr>
          <w:rFonts w:ascii="Times New Roman" w:hAnsi="Times New Roman"/>
        </w:rPr>
        <w:t xml:space="preserve">repeat radiographic imaging for monitoring of the spinal curve progression, concern has been raised over the harmful effects of </w:t>
      </w:r>
      <w:r w:rsidR="005B3D8D">
        <w:rPr>
          <w:rFonts w:ascii="Times New Roman" w:hAnsi="Times New Roman"/>
        </w:rPr>
        <w:t>x</w:t>
      </w:r>
      <w:r w:rsidRPr="00C46B3C">
        <w:rPr>
          <w:rFonts w:ascii="Times New Roman" w:hAnsi="Times New Roman"/>
        </w:rPr>
        <w:t>-ray radiation on the developing bodies of children.</w:t>
      </w:r>
      <w:r w:rsidR="005B3D8D">
        <w:rPr>
          <w:rFonts w:ascii="Times New Roman" w:hAnsi="Times New Roman"/>
        </w:rPr>
        <w:t xml:space="preserve"> </w:t>
      </w:r>
      <w:r w:rsidRPr="00C46B3C">
        <w:rPr>
          <w:rFonts w:ascii="Times New Roman" w:hAnsi="Times New Roman"/>
        </w:rPr>
        <w:t>Ronckers et al.</w:t>
      </w:r>
      <w:r w:rsidRPr="00C46B3C">
        <w:rPr>
          <w:rFonts w:ascii="Times New Roman" w:hAnsi="Times New Roman"/>
          <w:vertAlign w:val="superscript"/>
        </w:rPr>
        <w:t xml:space="preserve"> </w:t>
      </w:r>
      <w:r w:rsidRPr="00C46B3C">
        <w:rPr>
          <w:rFonts w:ascii="Times New Roman" w:hAnsi="Times New Roman"/>
        </w:rPr>
        <w:t>studied 5,513 females who were exposed to an average of 22.9 radiographs during treatment and follow</w:t>
      </w:r>
      <w:r w:rsidR="005B3D8D">
        <w:rPr>
          <w:rFonts w:ascii="Times New Roman" w:hAnsi="Times New Roman"/>
        </w:rPr>
        <w:t xml:space="preserve"> </w:t>
      </w:r>
      <w:r w:rsidRPr="00C46B3C">
        <w:rPr>
          <w:rFonts w:ascii="Times New Roman" w:hAnsi="Times New Roman"/>
        </w:rPr>
        <w:t>up of scoliosis between 1912-1965. The findings showed that the risk of early mortality was 46% higher than in the general population. Cancer was the primary cause of death in 23% of patients, with breast cancer being the most common type</w:t>
      </w:r>
      <w:r w:rsidR="005B3D8D">
        <w:rPr>
          <w:rFonts w:ascii="Times New Roman" w:hAnsi="Times New Roman"/>
        </w:rPr>
        <w:t xml:space="preserve"> [7]</w:t>
      </w:r>
      <w:r w:rsidRPr="00C46B3C">
        <w:rPr>
          <w:rFonts w:ascii="Times New Roman" w:hAnsi="Times New Roman"/>
        </w:rPr>
        <w:t xml:space="preserve">. This increased morbidity and mortality was attributed to the x-rays they had received as growing </w:t>
      </w:r>
      <w:r w:rsidR="005B3D8D">
        <w:rPr>
          <w:rFonts w:ascii="Times New Roman" w:hAnsi="Times New Roman"/>
        </w:rPr>
        <w:t>children</w:t>
      </w:r>
      <w:r w:rsidRPr="00C46B3C">
        <w:rPr>
          <w:rFonts w:ascii="Times New Roman" w:hAnsi="Times New Roman"/>
        </w:rPr>
        <w:t>. Ronckers calculated the median value for the cumulative dose of radiation to the breast at 100-150 mSv (millisieverts)</w:t>
      </w:r>
      <w:r w:rsidR="005B3D8D">
        <w:rPr>
          <w:rFonts w:ascii="Times New Roman" w:hAnsi="Times New Roman"/>
        </w:rPr>
        <w:t>,</w:t>
      </w:r>
      <w:r w:rsidRPr="00C46B3C">
        <w:rPr>
          <w:rFonts w:ascii="Times New Roman" w:hAnsi="Times New Roman"/>
        </w:rPr>
        <w:t xml:space="preserve"> or about 4.4 to 6.6 mSv per radiographic image. Imaging equipment used much higher doses of radiation in the mid 1900’s, amounting to more than a 50-fold increase in what a person would receive from a chest x-ray today</w:t>
      </w:r>
      <w:r w:rsidR="005B3D8D">
        <w:rPr>
          <w:rFonts w:ascii="Times New Roman" w:hAnsi="Times New Roman"/>
        </w:rPr>
        <w:t xml:space="preserve"> [7]</w:t>
      </w:r>
      <w:r w:rsidRPr="00C46B3C">
        <w:rPr>
          <w:rFonts w:ascii="Times New Roman" w:hAnsi="Times New Roman"/>
        </w:rPr>
        <w:t>. The researchers acknowledged this limitation, but the increased cancer risk attributed to scoliosis surveillance still caused great concerns among many clinicians.</w:t>
      </w:r>
    </w:p>
    <w:p w14:paraId="6CF3988C" w14:textId="77777777" w:rsidR="00057580" w:rsidRPr="00C46B3C" w:rsidRDefault="00057580" w:rsidP="00057580">
      <w:pPr>
        <w:pStyle w:val="MDPI31text"/>
        <w:ind w:left="270" w:right="2466"/>
        <w:rPr>
          <w:rFonts w:ascii="Times New Roman" w:hAnsi="Times New Roman"/>
        </w:rPr>
      </w:pPr>
      <w:r w:rsidRPr="00C46B3C">
        <w:rPr>
          <w:rFonts w:ascii="Times New Roman" w:hAnsi="Times New Roman"/>
        </w:rPr>
        <w:t xml:space="preserve"> </w:t>
      </w:r>
    </w:p>
    <w:p w14:paraId="58302772" w14:textId="685D94EA" w:rsidR="00057580" w:rsidRPr="00C46B3C" w:rsidRDefault="00057580" w:rsidP="00057580">
      <w:pPr>
        <w:pStyle w:val="MDPI31text"/>
        <w:ind w:left="270" w:right="2466"/>
        <w:rPr>
          <w:rFonts w:ascii="Times New Roman" w:hAnsi="Times New Roman"/>
        </w:rPr>
      </w:pPr>
      <w:r w:rsidRPr="00C46B3C">
        <w:rPr>
          <w:rFonts w:ascii="Times New Roman" w:hAnsi="Times New Roman"/>
        </w:rPr>
        <w:t>In the years since radiation exposure has been known to be harmful, the US Government has placed limits on the amount of patient radiation exposure. Those limits have been revised and have decreased throughout the last several decades. Prior to 1950, the limit was 250 mSv per year; after 1950, it was lowered to 150 mSv; since 1957, the limit has been 50 mSv per year</w:t>
      </w:r>
      <w:r w:rsidR="00980804">
        <w:rPr>
          <w:rFonts w:ascii="Times New Roman" w:hAnsi="Times New Roman"/>
        </w:rPr>
        <w:t xml:space="preserve"> [8]</w:t>
      </w:r>
      <w:r w:rsidRPr="00C46B3C">
        <w:rPr>
          <w:rFonts w:ascii="Times New Roman" w:hAnsi="Times New Roman"/>
        </w:rPr>
        <w:t>. Each change in recommendation was based on new information about the damaging effects of radiation on humans</w:t>
      </w:r>
      <w:r w:rsidR="00980804">
        <w:rPr>
          <w:rFonts w:ascii="Times New Roman" w:hAnsi="Times New Roman"/>
        </w:rPr>
        <w:t>,</w:t>
      </w:r>
      <w:r w:rsidRPr="00C46B3C">
        <w:rPr>
          <w:rFonts w:ascii="Times New Roman" w:hAnsi="Times New Roman"/>
        </w:rPr>
        <w:t xml:space="preserve"> as well as the development of radiographic techniques </w:t>
      </w:r>
      <w:r w:rsidR="00980804">
        <w:rPr>
          <w:rFonts w:ascii="Times New Roman" w:hAnsi="Times New Roman"/>
        </w:rPr>
        <w:t>that</w:t>
      </w:r>
      <w:r w:rsidRPr="00C46B3C">
        <w:rPr>
          <w:rFonts w:ascii="Times New Roman" w:hAnsi="Times New Roman"/>
        </w:rPr>
        <w:t xml:space="preserve"> required less radiation. Meanwhile, Thorne reported that the dose limit under which there are no negative consequences to radiation exposure is 10 mSv per year</w:t>
      </w:r>
      <w:r w:rsidR="00980804">
        <w:rPr>
          <w:rFonts w:ascii="Times New Roman" w:hAnsi="Times New Roman"/>
        </w:rPr>
        <w:t xml:space="preserve"> [9]</w:t>
      </w:r>
      <w:r w:rsidRPr="00C46B3C">
        <w:rPr>
          <w:rFonts w:ascii="Times New Roman" w:hAnsi="Times New Roman"/>
        </w:rPr>
        <w:t xml:space="preserve">. Using these guidelines, a yearly limit of 10 mSv would be ideal, but up to 50 mSv would be the limit when repeated imaging was medically necessary. </w:t>
      </w:r>
    </w:p>
    <w:p w14:paraId="4A663288" w14:textId="77777777" w:rsidR="00057580" w:rsidRPr="00C46B3C" w:rsidRDefault="00057580" w:rsidP="00057580">
      <w:pPr>
        <w:pStyle w:val="MDPI31text"/>
        <w:ind w:left="270" w:right="2466"/>
        <w:rPr>
          <w:rFonts w:ascii="Times New Roman" w:hAnsi="Times New Roman"/>
        </w:rPr>
      </w:pPr>
    </w:p>
    <w:p w14:paraId="4DAD5762" w14:textId="0DBABA51" w:rsidR="00057580" w:rsidRPr="00C46B3C" w:rsidRDefault="00057580" w:rsidP="00057580">
      <w:pPr>
        <w:pStyle w:val="MDPI31text"/>
        <w:ind w:left="270" w:right="2466"/>
        <w:rPr>
          <w:rFonts w:ascii="Times New Roman" w:hAnsi="Times New Roman"/>
        </w:rPr>
      </w:pPr>
      <w:r w:rsidRPr="00C46B3C">
        <w:rPr>
          <w:rFonts w:ascii="Times New Roman" w:hAnsi="Times New Roman"/>
        </w:rPr>
        <w:t>More recent studies have examined the cancer</w:t>
      </w:r>
      <w:r w:rsidR="00D03517" w:rsidRPr="00C46B3C">
        <w:rPr>
          <w:rFonts w:ascii="Times New Roman" w:hAnsi="Times New Roman"/>
        </w:rPr>
        <w:t xml:space="preserve"> risk </w:t>
      </w:r>
      <w:r w:rsidRPr="00C46B3C">
        <w:rPr>
          <w:rFonts w:ascii="Times New Roman" w:hAnsi="Times New Roman"/>
        </w:rPr>
        <w:t xml:space="preserve">in </w:t>
      </w:r>
      <w:r w:rsidR="00D03517" w:rsidRPr="00C46B3C">
        <w:rPr>
          <w:rFonts w:ascii="Times New Roman" w:hAnsi="Times New Roman"/>
        </w:rPr>
        <w:t xml:space="preserve">patients with </w:t>
      </w:r>
      <w:r w:rsidRPr="00C46B3C">
        <w:rPr>
          <w:rFonts w:ascii="Times New Roman" w:hAnsi="Times New Roman"/>
        </w:rPr>
        <w:t xml:space="preserve">exposures greater than </w:t>
      </w:r>
      <w:r w:rsidR="00423110" w:rsidRPr="00C46B3C">
        <w:rPr>
          <w:rFonts w:ascii="Times New Roman" w:hAnsi="Times New Roman"/>
        </w:rPr>
        <w:t>15</w:t>
      </w:r>
      <w:r w:rsidRPr="00C46B3C">
        <w:rPr>
          <w:rFonts w:ascii="Times New Roman" w:hAnsi="Times New Roman"/>
        </w:rPr>
        <w:t xml:space="preserve"> mSv. </w:t>
      </w:r>
      <w:r w:rsidR="00423110" w:rsidRPr="00C46B3C">
        <w:rPr>
          <w:rFonts w:ascii="Times New Roman" w:hAnsi="Times New Roman"/>
          <w:color w:val="000000" w:themeColor="text1"/>
        </w:rPr>
        <w:t xml:space="preserve">Smith et al. looked at children </w:t>
      </w:r>
      <w:r w:rsidR="00D03517" w:rsidRPr="00C46B3C">
        <w:rPr>
          <w:rFonts w:ascii="Times New Roman" w:hAnsi="Times New Roman"/>
          <w:color w:val="000000" w:themeColor="text1"/>
        </w:rPr>
        <w:t>who had developed</w:t>
      </w:r>
      <w:r w:rsidR="00423110" w:rsidRPr="00C46B3C">
        <w:rPr>
          <w:rFonts w:ascii="Times New Roman" w:hAnsi="Times New Roman"/>
          <w:color w:val="000000" w:themeColor="text1"/>
        </w:rPr>
        <w:t xml:space="preserve"> hematologic cancer a</w:t>
      </w:r>
      <w:r w:rsidR="00D03517" w:rsidRPr="00C46B3C">
        <w:rPr>
          <w:rFonts w:ascii="Times New Roman" w:hAnsi="Times New Roman"/>
          <w:color w:val="000000" w:themeColor="text1"/>
        </w:rPr>
        <w:t>fter</w:t>
      </w:r>
      <w:r w:rsidR="00423110" w:rsidRPr="00C46B3C">
        <w:rPr>
          <w:rFonts w:ascii="Times New Roman" w:hAnsi="Times New Roman"/>
          <w:color w:val="000000" w:themeColor="text1"/>
        </w:rPr>
        <w:t xml:space="preserve"> previous</w:t>
      </w:r>
      <w:r w:rsidR="00D03517" w:rsidRPr="00C46B3C">
        <w:rPr>
          <w:rFonts w:ascii="Times New Roman" w:hAnsi="Times New Roman"/>
          <w:color w:val="000000" w:themeColor="text1"/>
        </w:rPr>
        <w:t xml:space="preserve"> radiation exposure from</w:t>
      </w:r>
      <w:r w:rsidR="00866DB0" w:rsidRPr="00C46B3C">
        <w:rPr>
          <w:rFonts w:ascii="Times New Roman" w:hAnsi="Times New Roman"/>
          <w:color w:val="000000" w:themeColor="text1"/>
        </w:rPr>
        <w:t xml:space="preserve"> CT scans </w:t>
      </w:r>
      <w:r w:rsidR="00423110" w:rsidRPr="00C46B3C">
        <w:rPr>
          <w:rFonts w:ascii="Times New Roman" w:hAnsi="Times New Roman"/>
          <w:color w:val="000000" w:themeColor="text1"/>
        </w:rPr>
        <w:t xml:space="preserve">and found that 15-30 mSv exposure was associated with a 1.8-fold </w:t>
      </w:r>
      <w:r w:rsidR="00D03517" w:rsidRPr="00C46B3C">
        <w:rPr>
          <w:rFonts w:ascii="Times New Roman" w:hAnsi="Times New Roman"/>
          <w:color w:val="000000" w:themeColor="text1"/>
        </w:rPr>
        <w:t>increased</w:t>
      </w:r>
      <w:r w:rsidR="00423110" w:rsidRPr="00C46B3C">
        <w:rPr>
          <w:rFonts w:ascii="Times New Roman" w:hAnsi="Times New Roman"/>
          <w:color w:val="000000" w:themeColor="text1"/>
        </w:rPr>
        <w:t xml:space="preserve"> risk</w:t>
      </w:r>
      <w:r w:rsidR="00D03517" w:rsidRPr="00C46B3C">
        <w:rPr>
          <w:rFonts w:ascii="Times New Roman" w:hAnsi="Times New Roman"/>
          <w:color w:val="000000" w:themeColor="text1"/>
        </w:rPr>
        <w:t>. This increased to</w:t>
      </w:r>
      <w:r w:rsidR="00423110" w:rsidRPr="00C46B3C">
        <w:rPr>
          <w:rFonts w:ascii="Times New Roman" w:hAnsi="Times New Roman"/>
          <w:color w:val="000000" w:themeColor="text1"/>
        </w:rPr>
        <w:t xml:space="preserve"> a 2.5-fold risk for exposures &gt;30 mSv</w:t>
      </w:r>
      <w:r w:rsidR="00980804">
        <w:rPr>
          <w:rFonts w:ascii="Times New Roman" w:hAnsi="Times New Roman"/>
          <w:color w:val="000000" w:themeColor="text1"/>
        </w:rPr>
        <w:t xml:space="preserve"> [10]</w:t>
      </w:r>
      <w:r w:rsidR="00423110" w:rsidRPr="00C46B3C">
        <w:rPr>
          <w:rFonts w:ascii="Times New Roman" w:hAnsi="Times New Roman"/>
          <w:color w:val="000000" w:themeColor="text1"/>
        </w:rPr>
        <w:t>.</w:t>
      </w:r>
      <w:r w:rsidR="00423110" w:rsidRPr="00C46B3C">
        <w:rPr>
          <w:rFonts w:ascii="Times New Roman" w:hAnsi="Times New Roman"/>
        </w:rPr>
        <w:t xml:space="preserve"> </w:t>
      </w:r>
      <w:r w:rsidR="00423110" w:rsidRPr="00C46B3C">
        <w:rPr>
          <w:rFonts w:ascii="Times New Roman" w:hAnsi="Times New Roman"/>
          <w:vertAlign w:val="superscript"/>
        </w:rPr>
        <w:t xml:space="preserve"> </w:t>
      </w:r>
      <w:r w:rsidRPr="00C46B3C">
        <w:rPr>
          <w:rFonts w:ascii="Times New Roman" w:hAnsi="Times New Roman"/>
        </w:rPr>
        <w:t>Brenner et al</w:t>
      </w:r>
      <w:r w:rsidR="00980804">
        <w:rPr>
          <w:rFonts w:ascii="Times New Roman" w:hAnsi="Times New Roman"/>
        </w:rPr>
        <w:t>.</w:t>
      </w:r>
      <w:r w:rsidRPr="00C46B3C">
        <w:rPr>
          <w:rFonts w:ascii="Times New Roman" w:hAnsi="Times New Roman"/>
        </w:rPr>
        <w:t xml:space="preserve"> found that total radiation doses in the 50-100 mSv range causes a measurable increase in cancer incidence</w:t>
      </w:r>
      <w:r w:rsidR="00980804">
        <w:rPr>
          <w:rFonts w:ascii="Times New Roman" w:hAnsi="Times New Roman"/>
        </w:rPr>
        <w:t xml:space="preserve"> [11]</w:t>
      </w:r>
      <w:r w:rsidRPr="00C46B3C">
        <w:rPr>
          <w:rFonts w:ascii="Times New Roman" w:hAnsi="Times New Roman"/>
        </w:rPr>
        <w:t xml:space="preserve">. It is also known that children are more sensitive to radiation than adults because of their developing organs and tissues, resulting in higher </w:t>
      </w:r>
      <w:r w:rsidR="00FD11B6" w:rsidRPr="00C46B3C">
        <w:rPr>
          <w:rFonts w:ascii="Times New Roman" w:hAnsi="Times New Roman"/>
          <w:color w:val="000000" w:themeColor="text1"/>
        </w:rPr>
        <w:t>excess relative risk</w:t>
      </w:r>
      <w:r w:rsidRPr="00C46B3C">
        <w:rPr>
          <w:rFonts w:ascii="Times New Roman" w:hAnsi="Times New Roman"/>
          <w:color w:val="000000" w:themeColor="text1"/>
        </w:rPr>
        <w:t xml:space="preserve"> of leukemia</w:t>
      </w:r>
      <w:r w:rsidR="00FD11B6" w:rsidRPr="00C46B3C">
        <w:rPr>
          <w:rFonts w:ascii="Times New Roman" w:hAnsi="Times New Roman"/>
          <w:color w:val="000000" w:themeColor="text1"/>
        </w:rPr>
        <w:t xml:space="preserve"> (70 per 1000 mSv)</w:t>
      </w:r>
      <w:r w:rsidRPr="00C46B3C">
        <w:rPr>
          <w:rFonts w:ascii="Times New Roman" w:hAnsi="Times New Roman"/>
          <w:color w:val="000000" w:themeColor="text1"/>
        </w:rPr>
        <w:t>, brain</w:t>
      </w:r>
      <w:r w:rsidR="005B4A12" w:rsidRPr="00C46B3C">
        <w:rPr>
          <w:rFonts w:ascii="Times New Roman" w:hAnsi="Times New Roman"/>
          <w:color w:val="000000" w:themeColor="text1"/>
        </w:rPr>
        <w:t xml:space="preserve"> cancer</w:t>
      </w:r>
      <w:r w:rsidR="00FD11B6" w:rsidRPr="00C46B3C">
        <w:rPr>
          <w:rFonts w:ascii="Times New Roman" w:hAnsi="Times New Roman"/>
          <w:color w:val="000000" w:themeColor="text1"/>
        </w:rPr>
        <w:t xml:space="preserve"> (0.7-1.4 per 1000 mSv)</w:t>
      </w:r>
      <w:r w:rsidRPr="00C46B3C">
        <w:rPr>
          <w:rFonts w:ascii="Times New Roman" w:hAnsi="Times New Roman"/>
          <w:color w:val="000000" w:themeColor="text1"/>
        </w:rPr>
        <w:t>, breast</w:t>
      </w:r>
      <w:r w:rsidR="005B4A12" w:rsidRPr="00C46B3C">
        <w:rPr>
          <w:rFonts w:ascii="Times New Roman" w:hAnsi="Times New Roman"/>
          <w:color w:val="000000" w:themeColor="text1"/>
        </w:rPr>
        <w:t xml:space="preserve"> cancer</w:t>
      </w:r>
      <w:r w:rsidR="00FD11B6" w:rsidRPr="00C46B3C">
        <w:rPr>
          <w:rFonts w:ascii="Times New Roman" w:hAnsi="Times New Roman"/>
          <w:color w:val="000000" w:themeColor="text1"/>
        </w:rPr>
        <w:t xml:space="preserve"> (0.5-1.3 per 1000 mSv)</w:t>
      </w:r>
      <w:r w:rsidRPr="00C46B3C">
        <w:rPr>
          <w:rFonts w:ascii="Times New Roman" w:hAnsi="Times New Roman"/>
          <w:color w:val="000000" w:themeColor="text1"/>
        </w:rPr>
        <w:t>, skin</w:t>
      </w:r>
      <w:r w:rsidR="00FD11B6" w:rsidRPr="00C46B3C">
        <w:rPr>
          <w:rFonts w:ascii="Times New Roman" w:hAnsi="Times New Roman"/>
          <w:color w:val="000000" w:themeColor="text1"/>
        </w:rPr>
        <w:t xml:space="preserve"> </w:t>
      </w:r>
      <w:r w:rsidR="005B4A12" w:rsidRPr="00C46B3C">
        <w:rPr>
          <w:rFonts w:ascii="Times New Roman" w:hAnsi="Times New Roman"/>
          <w:color w:val="000000" w:themeColor="text1"/>
        </w:rPr>
        <w:t xml:space="preserve">cancer </w:t>
      </w:r>
      <w:r w:rsidR="00FD11B6" w:rsidRPr="00C46B3C">
        <w:rPr>
          <w:rFonts w:ascii="Times New Roman" w:hAnsi="Times New Roman"/>
          <w:color w:val="000000" w:themeColor="text1"/>
        </w:rPr>
        <w:t>(2-4 per 1000 mSv)</w:t>
      </w:r>
      <w:r w:rsidRPr="00C46B3C">
        <w:rPr>
          <w:rFonts w:ascii="Times New Roman" w:hAnsi="Times New Roman"/>
          <w:color w:val="000000" w:themeColor="text1"/>
        </w:rPr>
        <w:t>, and thyroid cancer</w:t>
      </w:r>
      <w:r w:rsidR="00FD11B6" w:rsidRPr="00C46B3C">
        <w:rPr>
          <w:rFonts w:ascii="Times New Roman" w:hAnsi="Times New Roman"/>
          <w:color w:val="000000" w:themeColor="text1"/>
        </w:rPr>
        <w:t xml:space="preserve"> (7.7 per 1000 mSv)</w:t>
      </w:r>
      <w:r w:rsidR="00980804">
        <w:rPr>
          <w:rFonts w:ascii="Times New Roman" w:hAnsi="Times New Roman"/>
          <w:color w:val="000000" w:themeColor="text1"/>
        </w:rPr>
        <w:t xml:space="preserve"> [12]</w:t>
      </w:r>
      <w:r w:rsidRPr="00C46B3C">
        <w:rPr>
          <w:rFonts w:ascii="Times New Roman" w:hAnsi="Times New Roman"/>
          <w:color w:val="000000" w:themeColor="text1"/>
        </w:rPr>
        <w:t>.</w:t>
      </w:r>
      <w:r w:rsidRPr="00C46B3C">
        <w:rPr>
          <w:rFonts w:ascii="Times New Roman" w:hAnsi="Times New Roman"/>
        </w:rPr>
        <w:t xml:space="preserve"> Ron et al</w:t>
      </w:r>
      <w:r w:rsidR="00980804">
        <w:rPr>
          <w:rFonts w:ascii="Times New Roman" w:hAnsi="Times New Roman"/>
        </w:rPr>
        <w:t>.</w:t>
      </w:r>
      <w:r w:rsidRPr="00C46B3C">
        <w:rPr>
          <w:rFonts w:ascii="Times New Roman" w:hAnsi="Times New Roman"/>
        </w:rPr>
        <w:t xml:space="preserve"> found that children under 5 years of age who received radiation exposure were significantly more prone to develop thyroid tumors than older children, </w:t>
      </w:r>
      <w:r w:rsidR="00C37D1C" w:rsidRPr="00C46B3C">
        <w:rPr>
          <w:rFonts w:ascii="Times New Roman" w:hAnsi="Times New Roman"/>
          <w:color w:val="000000" w:themeColor="text1"/>
        </w:rPr>
        <w:t>with 90 mSv in children &lt;5 years old conferring a 3.0 relative risk compared to children &gt;10 years old</w:t>
      </w:r>
      <w:r w:rsidR="00F72C6E" w:rsidRPr="00C46B3C">
        <w:rPr>
          <w:rFonts w:ascii="Times New Roman" w:hAnsi="Times New Roman"/>
          <w:color w:val="000000" w:themeColor="text1"/>
        </w:rPr>
        <w:t>,</w:t>
      </w:r>
      <w:r w:rsidR="00C37D1C" w:rsidRPr="00C46B3C">
        <w:rPr>
          <w:rFonts w:ascii="Times New Roman" w:hAnsi="Times New Roman"/>
          <w:color w:val="000000" w:themeColor="text1"/>
        </w:rPr>
        <w:t xml:space="preserve"> </w:t>
      </w:r>
      <w:r w:rsidRPr="00C46B3C">
        <w:rPr>
          <w:rFonts w:ascii="Times New Roman" w:hAnsi="Times New Roman"/>
          <w:color w:val="000000" w:themeColor="text1"/>
        </w:rPr>
        <w:t xml:space="preserve">demonstrating </w:t>
      </w:r>
      <w:r w:rsidRPr="00C46B3C">
        <w:rPr>
          <w:rFonts w:ascii="Times New Roman" w:hAnsi="Times New Roman"/>
        </w:rPr>
        <w:t>this greater risk of cancer when exposed to radiation at a younger age</w:t>
      </w:r>
      <w:r w:rsidR="00980804">
        <w:rPr>
          <w:rFonts w:ascii="Times New Roman" w:hAnsi="Times New Roman"/>
        </w:rPr>
        <w:t xml:space="preserve"> [13]</w:t>
      </w:r>
      <w:r w:rsidRPr="00C46B3C">
        <w:rPr>
          <w:rFonts w:ascii="Times New Roman" w:hAnsi="Times New Roman"/>
        </w:rPr>
        <w:t>.</w:t>
      </w:r>
    </w:p>
    <w:p w14:paraId="0DFE2B7D" w14:textId="77777777" w:rsidR="00057580" w:rsidRPr="00C46B3C" w:rsidRDefault="00057580" w:rsidP="00057580">
      <w:pPr>
        <w:pStyle w:val="MDPI31text"/>
        <w:ind w:left="270" w:right="2466"/>
        <w:rPr>
          <w:rFonts w:ascii="Times New Roman" w:hAnsi="Times New Roman"/>
        </w:rPr>
      </w:pPr>
    </w:p>
    <w:p w14:paraId="6AD70890" w14:textId="2DFA1ABB" w:rsidR="00057580" w:rsidRPr="00C46B3C" w:rsidRDefault="00057580" w:rsidP="00057580">
      <w:pPr>
        <w:pStyle w:val="MDPI31text"/>
        <w:ind w:left="270" w:right="2466"/>
        <w:rPr>
          <w:rFonts w:ascii="Times New Roman" w:hAnsi="Times New Roman"/>
        </w:rPr>
      </w:pPr>
      <w:r w:rsidRPr="00C46B3C">
        <w:rPr>
          <w:rFonts w:ascii="Times New Roman" w:hAnsi="Times New Roman"/>
        </w:rPr>
        <w:t>The positioning of the patient during radiographic spine imaging is also important in reducing the harmful effects of radiation. In female patient</w:t>
      </w:r>
      <w:r w:rsidR="00980804">
        <w:rPr>
          <w:rFonts w:ascii="Times New Roman" w:hAnsi="Times New Roman"/>
        </w:rPr>
        <w:t>s</w:t>
      </w:r>
      <w:r w:rsidRPr="00C46B3C">
        <w:rPr>
          <w:rFonts w:ascii="Times New Roman" w:hAnsi="Times New Roman"/>
        </w:rPr>
        <w:t>, breast tissue absorbs more damaging radiation when an AP x-ray is taken compared to a PA x-ray. A study done by Nash et al. found that females with AIS who had about 22 AP and lateral spine films taken during a 3-year period had a 10% increased lifetime risk of breast cancer. When PA films were taken rather than AP films, this risk was reduced to 3.8%</w:t>
      </w:r>
      <w:r w:rsidR="00980804">
        <w:rPr>
          <w:rFonts w:ascii="Times New Roman" w:hAnsi="Times New Roman"/>
        </w:rPr>
        <w:t xml:space="preserve"> [14]</w:t>
      </w:r>
      <w:r w:rsidRPr="00C46B3C">
        <w:rPr>
          <w:rFonts w:ascii="Times New Roman" w:hAnsi="Times New Roman"/>
        </w:rPr>
        <w:t xml:space="preserve">. </w:t>
      </w:r>
    </w:p>
    <w:p w14:paraId="56707851" w14:textId="77777777" w:rsidR="00057580" w:rsidRPr="00C46B3C" w:rsidRDefault="00057580" w:rsidP="00057580">
      <w:pPr>
        <w:pStyle w:val="MDPI31text"/>
        <w:ind w:left="270" w:right="2466"/>
        <w:rPr>
          <w:rFonts w:ascii="Times New Roman" w:hAnsi="Times New Roman"/>
        </w:rPr>
      </w:pPr>
    </w:p>
    <w:p w14:paraId="33C4ACF1" w14:textId="18875F2D" w:rsidR="00057580" w:rsidRPr="00C46B3C" w:rsidRDefault="00057580" w:rsidP="00057580">
      <w:pPr>
        <w:pStyle w:val="MDPI31text"/>
        <w:ind w:left="270" w:right="2466"/>
        <w:rPr>
          <w:rFonts w:ascii="Times New Roman" w:hAnsi="Times New Roman"/>
        </w:rPr>
      </w:pPr>
      <w:r w:rsidRPr="00C46B3C">
        <w:rPr>
          <w:rFonts w:ascii="Times New Roman" w:hAnsi="Times New Roman"/>
        </w:rPr>
        <w:lastRenderedPageBreak/>
        <w:t>In 2022, the US Nuclear Regulatory Commission reported that the average annual dose of background radiation exposure is 6.2 mSv for most people on earth. Of that dose, half (3.1mSv) comes from natural radiation from the sun which can vary at different altitudes, and from naturally occurring radon gas released from the ground.  The rest of our background radiation exposure comes from man-made sources such as radiographic imaging, commercial, and industrial sources</w:t>
      </w:r>
      <w:r w:rsidR="00980804">
        <w:rPr>
          <w:rFonts w:ascii="Times New Roman" w:hAnsi="Times New Roman"/>
        </w:rPr>
        <w:t xml:space="preserve"> [15]</w:t>
      </w:r>
      <w:r w:rsidRPr="00C46B3C">
        <w:rPr>
          <w:rFonts w:ascii="Times New Roman" w:hAnsi="Times New Roman"/>
        </w:rPr>
        <w:t>.</w:t>
      </w:r>
    </w:p>
    <w:p w14:paraId="1B2B7A83" w14:textId="77777777" w:rsidR="00057580" w:rsidRPr="00C46B3C" w:rsidRDefault="00057580" w:rsidP="00057580">
      <w:pPr>
        <w:pStyle w:val="MDPI31text"/>
        <w:ind w:left="270" w:right="2466"/>
        <w:rPr>
          <w:rFonts w:ascii="Times New Roman" w:hAnsi="Times New Roman"/>
        </w:rPr>
      </w:pPr>
    </w:p>
    <w:p w14:paraId="6E07A8B6" w14:textId="2D482332" w:rsidR="00057580" w:rsidRPr="00C46B3C" w:rsidRDefault="00057580" w:rsidP="00057580">
      <w:pPr>
        <w:pStyle w:val="MDPI31text"/>
        <w:ind w:left="270" w:right="2466"/>
        <w:rPr>
          <w:rFonts w:ascii="Times New Roman" w:hAnsi="Times New Roman"/>
        </w:rPr>
      </w:pPr>
      <w:r w:rsidRPr="00C46B3C">
        <w:rPr>
          <w:rFonts w:ascii="Times New Roman" w:hAnsi="Times New Roman"/>
        </w:rPr>
        <w:t>Over the last several decades, a number of organizations have weighed in on what level of radiation exposure from imaging is safe. The Centers for Disease Control (CDC) published a radiation safety guideline called ALARA, which is an acronym for “As Low As Reasonably Achievable.” Its purpose is to avoid any amount of radiation that is not necessary to produce the imaging. The three protective measures outlined are the time of the exposure, the distance from the radiation source, and the shielding of parts of the body that do not need to be included in the image</w:t>
      </w:r>
      <w:r w:rsidR="00980804">
        <w:rPr>
          <w:rFonts w:ascii="Times New Roman" w:hAnsi="Times New Roman"/>
        </w:rPr>
        <w:t xml:space="preserve"> [16]</w:t>
      </w:r>
      <w:r w:rsidRPr="00C46B3C">
        <w:rPr>
          <w:rFonts w:ascii="Times New Roman" w:hAnsi="Times New Roman"/>
        </w:rPr>
        <w:t xml:space="preserve">. The US Food and Drug Administration (FDA) </w:t>
      </w:r>
      <w:r w:rsidR="00980804" w:rsidRPr="00C46B3C">
        <w:rPr>
          <w:rFonts w:ascii="Times New Roman" w:hAnsi="Times New Roman"/>
        </w:rPr>
        <w:t>refer</w:t>
      </w:r>
      <w:r w:rsidRPr="00C46B3C">
        <w:rPr>
          <w:rFonts w:ascii="Times New Roman" w:hAnsi="Times New Roman"/>
        </w:rPr>
        <w:t xml:space="preserve"> to the CDC ALARA guidelines in its recommendations, especially when dealing with pediatric patients</w:t>
      </w:r>
      <w:r w:rsidR="00980804">
        <w:rPr>
          <w:rFonts w:ascii="Times New Roman" w:hAnsi="Times New Roman"/>
        </w:rPr>
        <w:t xml:space="preserve"> [17]</w:t>
      </w:r>
      <w:r w:rsidRPr="00C46B3C">
        <w:rPr>
          <w:rFonts w:ascii="Times New Roman" w:hAnsi="Times New Roman"/>
        </w:rPr>
        <w:t>.</w:t>
      </w:r>
    </w:p>
    <w:p w14:paraId="36E04601" w14:textId="77777777" w:rsidR="00057580" w:rsidRPr="00C46B3C" w:rsidRDefault="00057580" w:rsidP="00057580">
      <w:pPr>
        <w:pStyle w:val="MDPI31text"/>
        <w:ind w:left="270" w:right="2466"/>
        <w:rPr>
          <w:rFonts w:ascii="Times New Roman" w:hAnsi="Times New Roman"/>
        </w:rPr>
      </w:pPr>
    </w:p>
    <w:p w14:paraId="54EA5FD1" w14:textId="02AED490" w:rsidR="00057580" w:rsidRPr="00C46B3C" w:rsidRDefault="00057580" w:rsidP="00057580">
      <w:pPr>
        <w:pStyle w:val="MDPI31text"/>
        <w:ind w:left="270" w:right="2466"/>
        <w:rPr>
          <w:rFonts w:ascii="Times New Roman" w:hAnsi="Times New Roman"/>
        </w:rPr>
      </w:pPr>
      <w:r w:rsidRPr="00C46B3C">
        <w:rPr>
          <w:rFonts w:ascii="Times New Roman" w:hAnsi="Times New Roman"/>
        </w:rPr>
        <w:t>The American College of Radiology produced a white paper on radiation dose in medicine.  They show that radiation exposure has increased 7-fold in the US over the last 40 years due to the increased use of imaging studies, despite the lower dose of radiation exposure per study.  Myocardial perfusion imaging accounted for 22% of the total increase, and CT scans of the abdomen, pelvis and chest accounted for another 38%. Radiological imaging in the US makes up about 12% of all imaging studies worldwide</w:t>
      </w:r>
      <w:r w:rsidR="00980804">
        <w:rPr>
          <w:rFonts w:ascii="Times New Roman" w:hAnsi="Times New Roman"/>
        </w:rPr>
        <w:t xml:space="preserve"> [18]</w:t>
      </w:r>
      <w:r w:rsidRPr="00C46B3C">
        <w:rPr>
          <w:rFonts w:ascii="Times New Roman" w:hAnsi="Times New Roman"/>
        </w:rPr>
        <w:t>.</w:t>
      </w:r>
    </w:p>
    <w:p w14:paraId="3E6AAB65" w14:textId="1EA67EDE" w:rsidR="00057580" w:rsidRPr="00C46B3C" w:rsidRDefault="00057580" w:rsidP="00057580">
      <w:pPr>
        <w:pStyle w:val="MDPI31text"/>
        <w:ind w:left="270" w:right="2466"/>
        <w:rPr>
          <w:rFonts w:ascii="Times New Roman" w:hAnsi="Times New Roman"/>
        </w:rPr>
      </w:pPr>
    </w:p>
    <w:p w14:paraId="1D3E0CB2" w14:textId="4026BCC3" w:rsidR="00057580" w:rsidRPr="00C46B3C" w:rsidRDefault="00057580" w:rsidP="00057580">
      <w:pPr>
        <w:pStyle w:val="MDPI31text"/>
        <w:ind w:left="270" w:right="2466"/>
        <w:rPr>
          <w:rFonts w:ascii="Times New Roman" w:hAnsi="Times New Roman"/>
        </w:rPr>
      </w:pPr>
      <w:r w:rsidRPr="00C46B3C">
        <w:rPr>
          <w:rFonts w:ascii="Times New Roman" w:hAnsi="Times New Roman"/>
        </w:rPr>
        <w:t>Non-governmental organizations have also published guidelines. The Image Gently Alliance is a group of pediatric imaging clinicians who have published guidelines for both clinicians and parents.  To make the information understandable to non-clinicians, they compare common pediatric imaging exposures to the yearly background radiation that we all receive, explaining that a single chest x-ray with modern equipment is equal to only one day of background radiation</w:t>
      </w:r>
      <w:r w:rsidR="00980804">
        <w:rPr>
          <w:rFonts w:ascii="Times New Roman" w:hAnsi="Times New Roman"/>
        </w:rPr>
        <w:t xml:space="preserve"> [19]</w:t>
      </w:r>
      <w:r w:rsidRPr="00C46B3C">
        <w:rPr>
          <w:rFonts w:ascii="Times New Roman" w:hAnsi="Times New Roman"/>
        </w:rPr>
        <w:t>. Similarly, a head CT is equal to 8 months of background radiation, and an abdominal CT is equal to 20 months.  They state that there is no consensus for the threshold of radiation exposure in pediatrics, so the principle is to always image as little as possible without compromising the quality of care.</w:t>
      </w:r>
      <w:r w:rsidR="00980804">
        <w:rPr>
          <w:rFonts w:ascii="Times New Roman" w:hAnsi="Times New Roman"/>
        </w:rPr>
        <w:t xml:space="preserve"> </w:t>
      </w:r>
      <w:r w:rsidRPr="00C46B3C">
        <w:rPr>
          <w:rFonts w:ascii="Times New Roman" w:hAnsi="Times New Roman"/>
        </w:rPr>
        <w:t>Their estimate is that a single CT scan only increases the cancer risk later in life by 0.03 to 0.05%. They warn that some imaging facilities use the same dosage protocols for children and adults, and advocate for the adjustment of those protocols to account for the smaller pediatric patient size. The potential use of non-radiographic studies such as ultrasound and MRI is also explained</w:t>
      </w:r>
      <w:r w:rsidR="00980804">
        <w:rPr>
          <w:rFonts w:ascii="Times New Roman" w:hAnsi="Times New Roman"/>
        </w:rPr>
        <w:t xml:space="preserve"> [19]</w:t>
      </w:r>
      <w:r w:rsidRPr="00C46B3C">
        <w:rPr>
          <w:rFonts w:ascii="Times New Roman" w:hAnsi="Times New Roman"/>
        </w:rPr>
        <w:t>.</w:t>
      </w:r>
    </w:p>
    <w:p w14:paraId="7079DBAF" w14:textId="77777777" w:rsidR="00057580" w:rsidRPr="00C46B3C" w:rsidRDefault="00057580" w:rsidP="00057580">
      <w:pPr>
        <w:pStyle w:val="MDPI31text"/>
        <w:ind w:left="270" w:right="2466"/>
        <w:rPr>
          <w:rFonts w:ascii="Times New Roman" w:hAnsi="Times New Roman"/>
        </w:rPr>
      </w:pPr>
    </w:p>
    <w:p w14:paraId="0DEDAC4F" w14:textId="3922D8C9" w:rsidR="00057580" w:rsidRPr="00C46B3C" w:rsidRDefault="00057580" w:rsidP="00057580">
      <w:pPr>
        <w:pStyle w:val="MDPI31text"/>
        <w:ind w:left="270" w:right="2466"/>
        <w:rPr>
          <w:rFonts w:ascii="Times New Roman" w:hAnsi="Times New Roman"/>
        </w:rPr>
      </w:pPr>
      <w:r w:rsidRPr="00C46B3C">
        <w:rPr>
          <w:rFonts w:ascii="Times New Roman" w:hAnsi="Times New Roman"/>
        </w:rPr>
        <w:t>International institutions</w:t>
      </w:r>
      <w:r w:rsidR="00980804">
        <w:rPr>
          <w:rFonts w:ascii="Times New Roman" w:hAnsi="Times New Roman"/>
        </w:rPr>
        <w:t>,</w:t>
      </w:r>
      <w:r w:rsidRPr="00C46B3C">
        <w:rPr>
          <w:rFonts w:ascii="Times New Roman" w:hAnsi="Times New Roman"/>
        </w:rPr>
        <w:t xml:space="preserve"> such as the World Health Organization (WHO) and the International Commission on Radiological Protection (ICRP)</w:t>
      </w:r>
      <w:r w:rsidR="00980804">
        <w:rPr>
          <w:rFonts w:ascii="Times New Roman" w:hAnsi="Times New Roman"/>
        </w:rPr>
        <w:t>,</w:t>
      </w:r>
      <w:r w:rsidRPr="00C46B3C">
        <w:rPr>
          <w:rFonts w:ascii="Times New Roman" w:hAnsi="Times New Roman"/>
        </w:rPr>
        <w:t xml:space="preserve"> have also made recommendations. The WHO has studied the effects of short</w:t>
      </w:r>
      <w:r w:rsidR="00980804">
        <w:rPr>
          <w:rFonts w:ascii="Times New Roman" w:hAnsi="Times New Roman"/>
        </w:rPr>
        <w:t>-</w:t>
      </w:r>
      <w:r w:rsidRPr="00C46B3C">
        <w:rPr>
          <w:rFonts w:ascii="Times New Roman" w:hAnsi="Times New Roman"/>
        </w:rPr>
        <w:t>term and long</w:t>
      </w:r>
      <w:r w:rsidR="00980804">
        <w:rPr>
          <w:rFonts w:ascii="Times New Roman" w:hAnsi="Times New Roman"/>
        </w:rPr>
        <w:t>-</w:t>
      </w:r>
      <w:r w:rsidRPr="00C46B3C">
        <w:rPr>
          <w:rFonts w:ascii="Times New Roman" w:hAnsi="Times New Roman"/>
        </w:rPr>
        <w:t xml:space="preserve">term radiation exposure in populations, and describes the acute radiation syndrome in doses greater than 1000 mSv. They recognize the increased sensitivity to radiation in children, and describe the effects based on age groups. They recommend childhood exposure to be no greater than 50-100 mSv because of increased risk of cancer, and they stress that exposure during pregnancy of 100 mSv at 8-15 weeks of gestation and 200 mSv at 16-25 weeks </w:t>
      </w:r>
      <w:r w:rsidR="00980804">
        <w:rPr>
          <w:rFonts w:ascii="Times New Roman" w:hAnsi="Times New Roman"/>
        </w:rPr>
        <w:t xml:space="preserve">of </w:t>
      </w:r>
      <w:r w:rsidRPr="00C46B3C">
        <w:rPr>
          <w:rFonts w:ascii="Times New Roman" w:hAnsi="Times New Roman"/>
        </w:rPr>
        <w:t>gestation can result in significant fetal brain damage</w:t>
      </w:r>
      <w:r w:rsidR="00980804">
        <w:rPr>
          <w:rFonts w:ascii="Times New Roman" w:hAnsi="Times New Roman"/>
        </w:rPr>
        <w:t xml:space="preserve"> [20]</w:t>
      </w:r>
      <w:r w:rsidRPr="00C46B3C">
        <w:rPr>
          <w:rFonts w:ascii="Times New Roman" w:hAnsi="Times New Roman"/>
        </w:rPr>
        <w:t>. The ICRP updated its recommendations in 2007 and described limits for both occupational exposure and patient exposure.</w:t>
      </w:r>
      <w:r w:rsidR="00B134E1">
        <w:rPr>
          <w:rFonts w:ascii="Times New Roman" w:hAnsi="Times New Roman"/>
        </w:rPr>
        <w:t xml:space="preserve"> </w:t>
      </w:r>
      <w:r w:rsidRPr="00C46B3C">
        <w:rPr>
          <w:rFonts w:ascii="Times New Roman" w:hAnsi="Times New Roman"/>
        </w:rPr>
        <w:t>In the occupational setting, their dose limit is 20 mSv per year averaged over 5 years, while in the patient setting it is 1 mSv per year averaged over 5 years. They also provide exposure limits for different parts of the body, with skin being 500 mSv per year, and hands/feet being 500 mSv per year in the occupational setting</w:t>
      </w:r>
      <w:r w:rsidR="00B134E1">
        <w:rPr>
          <w:rFonts w:ascii="Times New Roman" w:hAnsi="Times New Roman"/>
        </w:rPr>
        <w:t xml:space="preserve"> [21]</w:t>
      </w:r>
      <w:r w:rsidRPr="00C46B3C">
        <w:rPr>
          <w:rFonts w:ascii="Times New Roman" w:hAnsi="Times New Roman"/>
        </w:rPr>
        <w:t>.</w:t>
      </w:r>
    </w:p>
    <w:p w14:paraId="71F7FD2E" w14:textId="77777777" w:rsidR="00057580" w:rsidRPr="00C46B3C" w:rsidRDefault="00057580" w:rsidP="00057580">
      <w:pPr>
        <w:pStyle w:val="MDPI31text"/>
        <w:ind w:left="270" w:right="2466"/>
        <w:rPr>
          <w:rFonts w:ascii="Times New Roman" w:hAnsi="Times New Roman"/>
        </w:rPr>
      </w:pPr>
    </w:p>
    <w:p w14:paraId="51B8CD8A" w14:textId="725E02D6" w:rsidR="00057580" w:rsidRPr="00C46B3C" w:rsidRDefault="00057580" w:rsidP="00057580">
      <w:pPr>
        <w:pStyle w:val="MDPI31text"/>
        <w:ind w:left="270" w:right="2466"/>
        <w:rPr>
          <w:rFonts w:ascii="Times New Roman" w:hAnsi="Times New Roman"/>
          <w:vertAlign w:val="superscript"/>
        </w:rPr>
      </w:pPr>
      <w:r w:rsidRPr="00C46B3C">
        <w:rPr>
          <w:rFonts w:ascii="Times New Roman" w:hAnsi="Times New Roman"/>
        </w:rPr>
        <w:t>The US Occupational Safety and Health Administration (OSHA) provides similar guidelines for US healthcare workers. They require employers to measure employee exposure on a daily basis, and report th</w:t>
      </w:r>
      <w:r w:rsidR="00B134E1">
        <w:rPr>
          <w:rFonts w:ascii="Times New Roman" w:hAnsi="Times New Roman"/>
        </w:rPr>
        <w:t>e</w:t>
      </w:r>
      <w:r w:rsidRPr="00C46B3C">
        <w:rPr>
          <w:rFonts w:ascii="Times New Roman" w:hAnsi="Times New Roman"/>
        </w:rPr>
        <w:t>se exposure levels to the federal government. Limits include 12.5 mSv to the whole body per quarter, and 187.5 mSv per quarter for hands and forearms. They allow for a healthcare worker to exceed these limits in certain situations, but only if the single quarter exposure remains below 30 mSv to the whole body.</w:t>
      </w:r>
      <w:r w:rsidR="00B134E1">
        <w:rPr>
          <w:rFonts w:ascii="Times New Roman" w:hAnsi="Times New Roman"/>
        </w:rPr>
        <w:t xml:space="preserve"> </w:t>
      </w:r>
      <w:r w:rsidRPr="00C46B3C">
        <w:rPr>
          <w:rFonts w:ascii="Times New Roman" w:hAnsi="Times New Roman"/>
        </w:rPr>
        <w:t>These recommendations have not been revised since 1971, however</w:t>
      </w:r>
      <w:r w:rsidR="00B134E1">
        <w:rPr>
          <w:rFonts w:ascii="Times New Roman" w:hAnsi="Times New Roman"/>
        </w:rPr>
        <w:t xml:space="preserve"> [22]</w:t>
      </w:r>
      <w:r w:rsidRPr="00C46B3C">
        <w:rPr>
          <w:rFonts w:ascii="Times New Roman" w:hAnsi="Times New Roman"/>
        </w:rPr>
        <w:t>.</w:t>
      </w:r>
    </w:p>
    <w:p w14:paraId="39B1FC7A" w14:textId="77777777" w:rsidR="00057580" w:rsidRPr="00C46B3C" w:rsidRDefault="00057580" w:rsidP="00057580">
      <w:pPr>
        <w:pStyle w:val="MDPI31text"/>
        <w:ind w:left="270" w:right="2466"/>
        <w:rPr>
          <w:rFonts w:ascii="Times New Roman" w:hAnsi="Times New Roman"/>
        </w:rPr>
      </w:pPr>
    </w:p>
    <w:p w14:paraId="0749D7B8" w14:textId="13E0C171" w:rsidR="00057580" w:rsidRPr="00C46B3C" w:rsidRDefault="00F4750C" w:rsidP="00F4750C">
      <w:pPr>
        <w:pStyle w:val="MDPI31text"/>
        <w:ind w:left="270" w:right="2466"/>
        <w:rPr>
          <w:rFonts w:ascii="Times New Roman" w:hAnsi="Times New Roman"/>
        </w:rPr>
      </w:pPr>
      <w:r w:rsidRPr="00C46B3C">
        <w:rPr>
          <w:rFonts w:ascii="Times New Roman" w:hAnsi="Times New Roman"/>
        </w:rPr>
        <w:t xml:space="preserve">In an effort to reduce radiation exposure in medical imaging, new techniques and technology have been introduced. </w:t>
      </w:r>
      <w:r w:rsidR="00E227A8" w:rsidRPr="00E227A8">
        <w:rPr>
          <w:rFonts w:ascii="Times New Roman" w:hAnsi="Times New Roman"/>
        </w:rPr>
        <w:t xml:space="preserve">EOS Imaging (TM) is a company producing a new method of radiologic </w:t>
      </w:r>
      <w:r w:rsidR="00E227A8" w:rsidRPr="00E227A8">
        <w:rPr>
          <w:rFonts w:ascii="Times New Roman" w:hAnsi="Times New Roman"/>
        </w:rPr>
        <w:lastRenderedPageBreak/>
        <w:t>imaging</w:t>
      </w:r>
      <w:r w:rsidRPr="00C46B3C">
        <w:rPr>
          <w:rFonts w:ascii="Times New Roman" w:hAnsi="Times New Roman"/>
        </w:rPr>
        <w:t xml:space="preserve"> that reduces radiation exposure through slit-scan photon emission and low-dose and flex-dose technology that changes the dose amount dependent on the part of the body</w:t>
      </w:r>
      <w:r w:rsidR="001C2835">
        <w:rPr>
          <w:rFonts w:ascii="Times New Roman" w:hAnsi="Times New Roman"/>
        </w:rPr>
        <w:t xml:space="preserve"> [23].</w:t>
      </w:r>
      <w:r w:rsidRPr="00C46B3C">
        <w:rPr>
          <w:rFonts w:ascii="Times New Roman" w:hAnsi="Times New Roman"/>
        </w:rPr>
        <w:t xml:space="preserve"> Rose et al</w:t>
      </w:r>
      <w:r w:rsidR="001C2835">
        <w:rPr>
          <w:rFonts w:ascii="Times New Roman" w:hAnsi="Times New Roman"/>
        </w:rPr>
        <w:t>.</w:t>
      </w:r>
      <w:r w:rsidRPr="00C46B3C">
        <w:rPr>
          <w:rFonts w:ascii="Times New Roman" w:hAnsi="Times New Roman"/>
        </w:rPr>
        <w:t xml:space="preserve"> measured the radiation dose of spinal x-rays in 206 children with scoliosis and found that plain film gave a total mean dose of 0.68mSv (PA plus lateral views) while EOS scans gave a total mean dose of 0.13 mSv (PA and lateral taken at the same time)</w:t>
      </w:r>
      <w:r w:rsidR="001C2835">
        <w:rPr>
          <w:rFonts w:ascii="Times New Roman" w:hAnsi="Times New Roman"/>
        </w:rPr>
        <w:t xml:space="preserve"> [24]</w:t>
      </w:r>
      <w:r w:rsidRPr="00C46B3C">
        <w:rPr>
          <w:rFonts w:ascii="Times New Roman" w:hAnsi="Times New Roman"/>
        </w:rPr>
        <w:t>. One study showed that children with large curves in the surgical rang</w:t>
      </w:r>
      <w:r w:rsidR="001C2835">
        <w:rPr>
          <w:rFonts w:ascii="Times New Roman" w:hAnsi="Times New Roman"/>
        </w:rPr>
        <w:t>e</w:t>
      </w:r>
      <w:r w:rsidRPr="00C46B3C">
        <w:rPr>
          <w:rFonts w:ascii="Times New Roman" w:hAnsi="Times New Roman"/>
        </w:rPr>
        <w:t xml:space="preserve"> have a mean of 12.2 (95% CI, 10.8-13.5) full-spine radiographs per year during treatment</w:t>
      </w:r>
      <w:r w:rsidR="001C2835">
        <w:rPr>
          <w:rFonts w:ascii="Times New Roman" w:hAnsi="Times New Roman"/>
        </w:rPr>
        <w:t xml:space="preserve"> [25]</w:t>
      </w:r>
      <w:r w:rsidRPr="00C46B3C">
        <w:rPr>
          <w:rFonts w:ascii="Times New Roman" w:hAnsi="Times New Roman"/>
        </w:rPr>
        <w:t>. Therefore, the number of radiographs in these more severe cases would yield 8.16 mSv per year using plain x-rays or 1.56 mSv through EOS scans</w:t>
      </w:r>
      <w:r w:rsidR="00057580" w:rsidRPr="00C46B3C">
        <w:rPr>
          <w:rFonts w:ascii="Times New Roman" w:hAnsi="Times New Roman"/>
        </w:rPr>
        <w:t>. (Table 1)</w:t>
      </w:r>
    </w:p>
    <w:p w14:paraId="353B971C" w14:textId="77777777" w:rsidR="00F4750C" w:rsidRPr="00C46B3C" w:rsidRDefault="00F4750C" w:rsidP="00F4750C">
      <w:pPr>
        <w:rPr>
          <w:rFonts w:ascii="Times New Roman" w:hAnsi="Times New Roman"/>
          <w:b/>
          <w:bCs/>
        </w:rPr>
      </w:pPr>
    </w:p>
    <w:p w14:paraId="3B491271" w14:textId="01ABC1EF" w:rsidR="00F4750C" w:rsidRPr="00C46B3C" w:rsidRDefault="00F4750C" w:rsidP="00F4750C">
      <w:pPr>
        <w:rPr>
          <w:rFonts w:ascii="Times New Roman" w:hAnsi="Times New Roman"/>
          <w:b/>
          <w:bCs/>
        </w:rPr>
      </w:pPr>
      <w:r w:rsidRPr="00C46B3C">
        <w:rPr>
          <w:rFonts w:ascii="Times New Roman" w:hAnsi="Times New Roman"/>
          <w:b/>
          <w:bCs/>
        </w:rPr>
        <w:t xml:space="preserve">Table 1. </w:t>
      </w:r>
      <w:r w:rsidRPr="002621CB">
        <w:rPr>
          <w:rFonts w:ascii="Times New Roman" w:hAnsi="Times New Roman"/>
        </w:rPr>
        <w:t>Comparison of radiation dose using different methods</w:t>
      </w:r>
    </w:p>
    <w:tbl>
      <w:tblPr>
        <w:tblStyle w:val="TableGrid"/>
        <w:tblW w:w="0" w:type="auto"/>
        <w:tblLook w:val="04A0" w:firstRow="1" w:lastRow="0" w:firstColumn="1" w:lastColumn="0" w:noHBand="0" w:noVBand="1"/>
      </w:tblPr>
      <w:tblGrid>
        <w:gridCol w:w="1363"/>
        <w:gridCol w:w="2736"/>
        <w:gridCol w:w="1265"/>
        <w:gridCol w:w="1313"/>
        <w:gridCol w:w="1480"/>
      </w:tblGrid>
      <w:tr w:rsidR="00F4750C" w:rsidRPr="00C46B3C" w14:paraId="44E94102" w14:textId="77777777" w:rsidTr="001C2835">
        <w:trPr>
          <w:trHeight w:val="944"/>
        </w:trPr>
        <w:tc>
          <w:tcPr>
            <w:tcW w:w="1363" w:type="dxa"/>
            <w:noWrap/>
            <w:vAlign w:val="center"/>
            <w:hideMark/>
          </w:tcPr>
          <w:p w14:paraId="7D554FF7" w14:textId="77777777" w:rsidR="00F4750C" w:rsidRPr="00C46B3C" w:rsidRDefault="00F4750C" w:rsidP="001C2835">
            <w:pPr>
              <w:jc w:val="center"/>
              <w:rPr>
                <w:rFonts w:ascii="Times New Roman" w:hAnsi="Times New Roman"/>
                <w:b/>
                <w:bCs/>
              </w:rPr>
            </w:pPr>
            <w:r w:rsidRPr="00C46B3C">
              <w:rPr>
                <w:rFonts w:ascii="Times New Roman" w:hAnsi="Times New Roman"/>
                <w:b/>
                <w:bCs/>
              </w:rPr>
              <w:t>Method</w:t>
            </w:r>
          </w:p>
        </w:tc>
        <w:tc>
          <w:tcPr>
            <w:tcW w:w="2736" w:type="dxa"/>
            <w:noWrap/>
            <w:vAlign w:val="center"/>
            <w:hideMark/>
          </w:tcPr>
          <w:p w14:paraId="4CE9AB8B" w14:textId="77777777" w:rsidR="00F4750C" w:rsidRPr="00C46B3C" w:rsidRDefault="00F4750C" w:rsidP="001C2835">
            <w:pPr>
              <w:jc w:val="center"/>
              <w:rPr>
                <w:rFonts w:ascii="Times New Roman" w:hAnsi="Times New Roman"/>
                <w:b/>
                <w:bCs/>
              </w:rPr>
            </w:pPr>
            <w:r w:rsidRPr="00C46B3C">
              <w:rPr>
                <w:rFonts w:ascii="Times New Roman" w:hAnsi="Times New Roman"/>
                <w:b/>
                <w:bCs/>
              </w:rPr>
              <w:t>PA + Lateral image</w:t>
            </w:r>
          </w:p>
        </w:tc>
        <w:tc>
          <w:tcPr>
            <w:tcW w:w="1265" w:type="dxa"/>
            <w:noWrap/>
            <w:vAlign w:val="center"/>
            <w:hideMark/>
          </w:tcPr>
          <w:p w14:paraId="3B66D43B" w14:textId="77777777" w:rsidR="00F4750C" w:rsidRPr="00C46B3C" w:rsidRDefault="00F4750C" w:rsidP="001C2835">
            <w:pPr>
              <w:jc w:val="center"/>
              <w:rPr>
                <w:rFonts w:ascii="Times New Roman" w:hAnsi="Times New Roman"/>
                <w:b/>
                <w:bCs/>
              </w:rPr>
            </w:pPr>
            <w:r w:rsidRPr="00C46B3C">
              <w:rPr>
                <w:rFonts w:ascii="Times New Roman" w:hAnsi="Times New Roman"/>
                <w:b/>
                <w:bCs/>
              </w:rPr>
              <w:t>1 per year</w:t>
            </w:r>
          </w:p>
        </w:tc>
        <w:tc>
          <w:tcPr>
            <w:tcW w:w="1313" w:type="dxa"/>
            <w:noWrap/>
            <w:vAlign w:val="center"/>
            <w:hideMark/>
          </w:tcPr>
          <w:p w14:paraId="72E8A203" w14:textId="77777777" w:rsidR="00F4750C" w:rsidRPr="00C46B3C" w:rsidRDefault="00F4750C" w:rsidP="001C2835">
            <w:pPr>
              <w:jc w:val="center"/>
              <w:rPr>
                <w:rFonts w:ascii="Times New Roman" w:hAnsi="Times New Roman"/>
                <w:b/>
                <w:bCs/>
              </w:rPr>
            </w:pPr>
            <w:r w:rsidRPr="00C46B3C">
              <w:rPr>
                <w:rFonts w:ascii="Times New Roman" w:hAnsi="Times New Roman"/>
                <w:b/>
                <w:bCs/>
              </w:rPr>
              <w:t>4 per year</w:t>
            </w:r>
          </w:p>
        </w:tc>
        <w:tc>
          <w:tcPr>
            <w:tcW w:w="1480" w:type="dxa"/>
            <w:noWrap/>
            <w:vAlign w:val="center"/>
            <w:hideMark/>
          </w:tcPr>
          <w:p w14:paraId="619C5156" w14:textId="77777777" w:rsidR="00F4750C" w:rsidRPr="00C46B3C" w:rsidRDefault="00F4750C" w:rsidP="001C2835">
            <w:pPr>
              <w:jc w:val="center"/>
              <w:rPr>
                <w:rFonts w:ascii="Times New Roman" w:hAnsi="Times New Roman"/>
                <w:b/>
                <w:bCs/>
              </w:rPr>
            </w:pPr>
            <w:r w:rsidRPr="00C46B3C">
              <w:rPr>
                <w:rFonts w:ascii="Times New Roman" w:hAnsi="Times New Roman"/>
                <w:b/>
                <w:bCs/>
              </w:rPr>
              <w:t>12 per year</w:t>
            </w:r>
          </w:p>
        </w:tc>
      </w:tr>
      <w:tr w:rsidR="00F4750C" w:rsidRPr="00C46B3C" w14:paraId="1082C36F" w14:textId="77777777" w:rsidTr="001C2835">
        <w:trPr>
          <w:trHeight w:val="944"/>
        </w:trPr>
        <w:tc>
          <w:tcPr>
            <w:tcW w:w="1363" w:type="dxa"/>
            <w:noWrap/>
            <w:vAlign w:val="center"/>
            <w:hideMark/>
          </w:tcPr>
          <w:p w14:paraId="436FD1BA" w14:textId="77777777" w:rsidR="00F4750C" w:rsidRPr="00C46B3C" w:rsidRDefault="00F4750C" w:rsidP="001C2835">
            <w:pPr>
              <w:jc w:val="left"/>
              <w:rPr>
                <w:rFonts w:ascii="Times New Roman" w:hAnsi="Times New Roman"/>
              </w:rPr>
            </w:pPr>
            <w:r w:rsidRPr="00C46B3C">
              <w:rPr>
                <w:rFonts w:ascii="Times New Roman" w:hAnsi="Times New Roman"/>
              </w:rPr>
              <w:t>Plain Film</w:t>
            </w:r>
          </w:p>
        </w:tc>
        <w:tc>
          <w:tcPr>
            <w:tcW w:w="2736" w:type="dxa"/>
            <w:noWrap/>
            <w:vAlign w:val="center"/>
            <w:hideMark/>
          </w:tcPr>
          <w:p w14:paraId="33CDAAE8" w14:textId="77777777" w:rsidR="00F4750C" w:rsidRPr="00C46B3C" w:rsidRDefault="00F4750C" w:rsidP="001C2835">
            <w:pPr>
              <w:jc w:val="center"/>
              <w:rPr>
                <w:rFonts w:ascii="Times New Roman" w:hAnsi="Times New Roman"/>
              </w:rPr>
            </w:pPr>
            <w:r w:rsidRPr="00C46B3C">
              <w:rPr>
                <w:rFonts w:ascii="Times New Roman" w:hAnsi="Times New Roman"/>
              </w:rPr>
              <w:t>0.68 mSv</w:t>
            </w:r>
          </w:p>
        </w:tc>
        <w:tc>
          <w:tcPr>
            <w:tcW w:w="1265" w:type="dxa"/>
            <w:noWrap/>
            <w:vAlign w:val="center"/>
            <w:hideMark/>
          </w:tcPr>
          <w:p w14:paraId="7422540E" w14:textId="77777777" w:rsidR="00F4750C" w:rsidRPr="00C46B3C" w:rsidRDefault="00F4750C" w:rsidP="001C2835">
            <w:pPr>
              <w:jc w:val="center"/>
              <w:rPr>
                <w:rFonts w:ascii="Times New Roman" w:hAnsi="Times New Roman"/>
              </w:rPr>
            </w:pPr>
            <w:r w:rsidRPr="00C46B3C">
              <w:rPr>
                <w:rFonts w:ascii="Times New Roman" w:hAnsi="Times New Roman"/>
              </w:rPr>
              <w:t>0.68 mSv</w:t>
            </w:r>
          </w:p>
        </w:tc>
        <w:tc>
          <w:tcPr>
            <w:tcW w:w="1313" w:type="dxa"/>
            <w:noWrap/>
            <w:vAlign w:val="center"/>
            <w:hideMark/>
          </w:tcPr>
          <w:p w14:paraId="63FF8BC1" w14:textId="77777777" w:rsidR="00F4750C" w:rsidRPr="00C46B3C" w:rsidRDefault="00F4750C" w:rsidP="001C2835">
            <w:pPr>
              <w:jc w:val="center"/>
              <w:rPr>
                <w:rFonts w:ascii="Times New Roman" w:hAnsi="Times New Roman"/>
              </w:rPr>
            </w:pPr>
            <w:r w:rsidRPr="00C46B3C">
              <w:rPr>
                <w:rFonts w:ascii="Times New Roman" w:hAnsi="Times New Roman"/>
              </w:rPr>
              <w:t>2.72 mSv</w:t>
            </w:r>
          </w:p>
        </w:tc>
        <w:tc>
          <w:tcPr>
            <w:tcW w:w="1480" w:type="dxa"/>
            <w:noWrap/>
            <w:vAlign w:val="center"/>
            <w:hideMark/>
          </w:tcPr>
          <w:p w14:paraId="5DA14FE4" w14:textId="77777777" w:rsidR="00F4750C" w:rsidRPr="00C46B3C" w:rsidRDefault="00F4750C" w:rsidP="001C2835">
            <w:pPr>
              <w:jc w:val="center"/>
              <w:rPr>
                <w:rFonts w:ascii="Times New Roman" w:hAnsi="Times New Roman"/>
              </w:rPr>
            </w:pPr>
            <w:r w:rsidRPr="00C46B3C">
              <w:rPr>
                <w:rFonts w:ascii="Times New Roman" w:hAnsi="Times New Roman"/>
              </w:rPr>
              <w:t>8.16 mSv</w:t>
            </w:r>
          </w:p>
        </w:tc>
      </w:tr>
      <w:tr w:rsidR="00F4750C" w:rsidRPr="00C46B3C" w14:paraId="2962C032" w14:textId="77777777" w:rsidTr="001C2835">
        <w:trPr>
          <w:trHeight w:val="944"/>
        </w:trPr>
        <w:tc>
          <w:tcPr>
            <w:tcW w:w="1363" w:type="dxa"/>
            <w:noWrap/>
            <w:vAlign w:val="center"/>
            <w:hideMark/>
          </w:tcPr>
          <w:p w14:paraId="0390387E" w14:textId="77777777" w:rsidR="00F4750C" w:rsidRPr="00C46B3C" w:rsidRDefault="00F4750C" w:rsidP="001C2835">
            <w:pPr>
              <w:jc w:val="left"/>
              <w:rPr>
                <w:rFonts w:ascii="Times New Roman" w:hAnsi="Times New Roman"/>
              </w:rPr>
            </w:pPr>
            <w:r w:rsidRPr="00C46B3C">
              <w:rPr>
                <w:rFonts w:ascii="Times New Roman" w:hAnsi="Times New Roman"/>
              </w:rPr>
              <w:t>EOS scan</w:t>
            </w:r>
          </w:p>
        </w:tc>
        <w:tc>
          <w:tcPr>
            <w:tcW w:w="2736" w:type="dxa"/>
            <w:noWrap/>
            <w:vAlign w:val="center"/>
            <w:hideMark/>
          </w:tcPr>
          <w:p w14:paraId="4ED3F1F8" w14:textId="77777777" w:rsidR="00F4750C" w:rsidRPr="00C46B3C" w:rsidRDefault="00F4750C" w:rsidP="001C2835">
            <w:pPr>
              <w:jc w:val="center"/>
              <w:rPr>
                <w:rFonts w:ascii="Times New Roman" w:hAnsi="Times New Roman"/>
              </w:rPr>
            </w:pPr>
            <w:r w:rsidRPr="00C46B3C">
              <w:rPr>
                <w:rFonts w:ascii="Times New Roman" w:hAnsi="Times New Roman"/>
              </w:rPr>
              <w:t>0.13 mSv</w:t>
            </w:r>
          </w:p>
        </w:tc>
        <w:tc>
          <w:tcPr>
            <w:tcW w:w="1265" w:type="dxa"/>
            <w:noWrap/>
            <w:vAlign w:val="center"/>
            <w:hideMark/>
          </w:tcPr>
          <w:p w14:paraId="33F699C6" w14:textId="77777777" w:rsidR="00F4750C" w:rsidRPr="00C46B3C" w:rsidRDefault="00F4750C" w:rsidP="001C2835">
            <w:pPr>
              <w:jc w:val="center"/>
              <w:rPr>
                <w:rFonts w:ascii="Times New Roman" w:hAnsi="Times New Roman"/>
              </w:rPr>
            </w:pPr>
            <w:r w:rsidRPr="00C46B3C">
              <w:rPr>
                <w:rFonts w:ascii="Times New Roman" w:hAnsi="Times New Roman"/>
              </w:rPr>
              <w:t>0.13 mSv</w:t>
            </w:r>
          </w:p>
        </w:tc>
        <w:tc>
          <w:tcPr>
            <w:tcW w:w="1313" w:type="dxa"/>
            <w:noWrap/>
            <w:vAlign w:val="center"/>
            <w:hideMark/>
          </w:tcPr>
          <w:p w14:paraId="1676233D" w14:textId="77777777" w:rsidR="00F4750C" w:rsidRPr="00C46B3C" w:rsidRDefault="00F4750C" w:rsidP="001C2835">
            <w:pPr>
              <w:jc w:val="center"/>
              <w:rPr>
                <w:rFonts w:ascii="Times New Roman" w:hAnsi="Times New Roman"/>
              </w:rPr>
            </w:pPr>
            <w:r w:rsidRPr="00C46B3C">
              <w:rPr>
                <w:rFonts w:ascii="Times New Roman" w:hAnsi="Times New Roman"/>
              </w:rPr>
              <w:t>0.52 mSv</w:t>
            </w:r>
          </w:p>
        </w:tc>
        <w:tc>
          <w:tcPr>
            <w:tcW w:w="1480" w:type="dxa"/>
            <w:noWrap/>
            <w:vAlign w:val="center"/>
            <w:hideMark/>
          </w:tcPr>
          <w:p w14:paraId="4D329AA0" w14:textId="77777777" w:rsidR="00F4750C" w:rsidRPr="00C46B3C" w:rsidRDefault="00F4750C" w:rsidP="001C2835">
            <w:pPr>
              <w:jc w:val="center"/>
              <w:rPr>
                <w:rFonts w:ascii="Times New Roman" w:hAnsi="Times New Roman"/>
              </w:rPr>
            </w:pPr>
            <w:r w:rsidRPr="00C46B3C">
              <w:rPr>
                <w:rFonts w:ascii="Times New Roman" w:hAnsi="Times New Roman"/>
              </w:rPr>
              <w:t>1.56 mSv</w:t>
            </w:r>
          </w:p>
        </w:tc>
      </w:tr>
      <w:tr w:rsidR="001C2835" w:rsidRPr="00C46B3C" w14:paraId="7EF46821" w14:textId="77777777">
        <w:trPr>
          <w:trHeight w:val="944"/>
        </w:trPr>
        <w:tc>
          <w:tcPr>
            <w:tcW w:w="1363" w:type="dxa"/>
            <w:noWrap/>
            <w:vAlign w:val="center"/>
          </w:tcPr>
          <w:p w14:paraId="30EAA097" w14:textId="77777777" w:rsidR="001C2835" w:rsidRPr="00C46B3C" w:rsidRDefault="001C2835" w:rsidP="001C2835">
            <w:pPr>
              <w:jc w:val="left"/>
              <w:rPr>
                <w:rFonts w:ascii="Times New Roman" w:hAnsi="Times New Roman"/>
                <w:b/>
                <w:bCs/>
              </w:rPr>
            </w:pPr>
            <w:r w:rsidRPr="00C46B3C">
              <w:rPr>
                <w:rFonts w:ascii="Times New Roman" w:hAnsi="Times New Roman"/>
                <w:b/>
                <w:bCs/>
              </w:rPr>
              <w:t>Target Dose</w:t>
            </w:r>
          </w:p>
        </w:tc>
        <w:tc>
          <w:tcPr>
            <w:tcW w:w="6794" w:type="dxa"/>
            <w:gridSpan w:val="4"/>
            <w:noWrap/>
            <w:vAlign w:val="center"/>
          </w:tcPr>
          <w:p w14:paraId="442C9F9F" w14:textId="25A4951E" w:rsidR="001C2835" w:rsidRPr="00C46B3C" w:rsidRDefault="001C2835" w:rsidP="001C2835">
            <w:pPr>
              <w:jc w:val="center"/>
              <w:rPr>
                <w:rFonts w:ascii="Times New Roman" w:hAnsi="Times New Roman"/>
              </w:rPr>
            </w:pPr>
            <w:r w:rsidRPr="00C46B3C">
              <w:rPr>
                <w:rFonts w:ascii="Times New Roman" w:hAnsi="Times New Roman"/>
              </w:rPr>
              <w:t>Less than 10 mSv per year</w:t>
            </w:r>
          </w:p>
        </w:tc>
      </w:tr>
    </w:tbl>
    <w:p w14:paraId="08EF0865" w14:textId="77777777" w:rsidR="00F4750C" w:rsidRPr="00C46B3C" w:rsidRDefault="00F4750C" w:rsidP="00F4750C">
      <w:pPr>
        <w:pStyle w:val="MDPI31text"/>
        <w:ind w:left="270" w:right="2466"/>
        <w:rPr>
          <w:rFonts w:ascii="Times New Roman" w:hAnsi="Times New Roman"/>
        </w:rPr>
      </w:pPr>
    </w:p>
    <w:p w14:paraId="36E55D93" w14:textId="14CF25A5" w:rsidR="00057580" w:rsidRPr="00C46B3C" w:rsidRDefault="00057580" w:rsidP="00057580">
      <w:pPr>
        <w:pStyle w:val="MDPI31text"/>
        <w:ind w:left="270" w:right="2466"/>
        <w:rPr>
          <w:rFonts w:ascii="Times New Roman" w:hAnsi="Times New Roman"/>
        </w:rPr>
      </w:pPr>
      <w:r w:rsidRPr="00C46B3C">
        <w:rPr>
          <w:rFonts w:ascii="Times New Roman" w:hAnsi="Times New Roman"/>
        </w:rPr>
        <w:t>Both these radiographic techniques fall under the 10 mSv per year limit</w:t>
      </w:r>
      <w:r w:rsidR="001C2835">
        <w:rPr>
          <w:rFonts w:ascii="Times New Roman" w:hAnsi="Times New Roman"/>
        </w:rPr>
        <w:t>,</w:t>
      </w:r>
      <w:r w:rsidRPr="00C46B3C">
        <w:rPr>
          <w:rFonts w:ascii="Times New Roman" w:hAnsi="Times New Roman"/>
        </w:rPr>
        <w:t xml:space="preserve"> in which Thorne suggests there are no negative consequences</w:t>
      </w:r>
      <w:r w:rsidR="001C2835">
        <w:rPr>
          <w:rFonts w:ascii="Times New Roman" w:hAnsi="Times New Roman"/>
        </w:rPr>
        <w:t xml:space="preserve"> [9]</w:t>
      </w:r>
      <w:r w:rsidRPr="00C46B3C">
        <w:rPr>
          <w:rFonts w:ascii="Times New Roman" w:hAnsi="Times New Roman"/>
        </w:rPr>
        <w:t>, as well as below the 50 mSv federal limit. In cases where the curve magnitude is smaller, less radiographic images are required per year, and the annual dose of radiation for these patients would be well below the recommended limit. While the safest dose of radiation is always the lowest possible dose, the tradeoff between the lower dose of radiation using EOS and the higher cost of the EOS equipment must be considered.</w:t>
      </w:r>
    </w:p>
    <w:p w14:paraId="0BA8C4C6" w14:textId="77777777" w:rsidR="005A0847" w:rsidRPr="00C46B3C" w:rsidRDefault="005A0847" w:rsidP="0068698C">
      <w:pPr>
        <w:pStyle w:val="MDPI31text"/>
        <w:ind w:left="270" w:right="2466"/>
        <w:rPr>
          <w:rFonts w:ascii="Times New Roman" w:hAnsi="Times New Roman"/>
        </w:rPr>
      </w:pPr>
    </w:p>
    <w:p w14:paraId="61374390" w14:textId="50E574C6" w:rsidR="00B56199" w:rsidRPr="00C46B3C" w:rsidRDefault="00B56199" w:rsidP="00D2290F">
      <w:pPr>
        <w:pStyle w:val="MDPI21heading1"/>
        <w:ind w:left="270" w:right="2466"/>
        <w:rPr>
          <w:rFonts w:ascii="Times New Roman" w:hAnsi="Times New Roman"/>
        </w:rPr>
      </w:pPr>
      <w:r w:rsidRPr="00C46B3C">
        <w:rPr>
          <w:rFonts w:ascii="Times New Roman" w:hAnsi="Times New Roman"/>
          <w:lang w:eastAsia="zh-CN"/>
        </w:rPr>
        <w:t xml:space="preserve">2. </w:t>
      </w:r>
      <w:r w:rsidRPr="00C46B3C">
        <w:rPr>
          <w:rFonts w:ascii="Times New Roman" w:hAnsi="Times New Roman"/>
        </w:rPr>
        <w:t>Materials and Methods</w:t>
      </w:r>
    </w:p>
    <w:p w14:paraId="74D46C0C" w14:textId="15D6DA0D" w:rsidR="00057580" w:rsidRPr="00C46B3C" w:rsidRDefault="00057580" w:rsidP="00057580">
      <w:pPr>
        <w:pStyle w:val="MDPI31text"/>
        <w:ind w:left="270" w:right="2466"/>
        <w:rPr>
          <w:rFonts w:ascii="Times New Roman" w:hAnsi="Times New Roman"/>
        </w:rPr>
      </w:pPr>
      <w:r w:rsidRPr="00C46B3C">
        <w:rPr>
          <w:rFonts w:ascii="Times New Roman" w:hAnsi="Times New Roman"/>
        </w:rPr>
        <w:t>In order to calculate whether children with scoliosis are receiving radiation doses that are within the safe limits recommended by the different organizations described above, a series of typical patient scenarios were created to estimate the total treatment dosage each would receive.  Each case represents a common type of scoliosis patient entering treatment based on the age that their spinal deformity was discovered</w:t>
      </w:r>
      <w:r w:rsidR="002621CB">
        <w:rPr>
          <w:rFonts w:ascii="Times New Roman" w:hAnsi="Times New Roman"/>
        </w:rPr>
        <w:t>:</w:t>
      </w:r>
      <w:r w:rsidRPr="00C46B3C">
        <w:rPr>
          <w:rFonts w:ascii="Times New Roman" w:hAnsi="Times New Roman"/>
        </w:rPr>
        <w:t xml:space="preserve">   </w:t>
      </w:r>
    </w:p>
    <w:p w14:paraId="1441FB74" w14:textId="77777777" w:rsidR="00057580" w:rsidRPr="00C46B3C" w:rsidRDefault="00057580" w:rsidP="00057580">
      <w:pPr>
        <w:pStyle w:val="MDPI31text"/>
        <w:ind w:left="270" w:right="2466"/>
        <w:rPr>
          <w:rFonts w:ascii="Times New Roman" w:hAnsi="Times New Roman"/>
        </w:rPr>
      </w:pPr>
    </w:p>
    <w:p w14:paraId="1D0CDBED" w14:textId="77A0A09F" w:rsidR="00367E72" w:rsidRPr="002621CB" w:rsidRDefault="00367E72" w:rsidP="002621CB">
      <w:pPr>
        <w:pStyle w:val="MDPI31text"/>
        <w:ind w:left="695" w:right="2466"/>
        <w:rPr>
          <w:rFonts w:ascii="Times New Roman" w:hAnsi="Times New Roman"/>
          <w:i/>
          <w:iCs/>
        </w:rPr>
      </w:pPr>
      <w:r w:rsidRPr="002621CB">
        <w:rPr>
          <w:rFonts w:ascii="Times New Roman" w:hAnsi="Times New Roman"/>
          <w:i/>
          <w:iCs/>
        </w:rPr>
        <w:t>A 3-year-old child with early onset scoliosis could need up to 4 x-rays per year until they are 18 years old. Over the course of 15 years, this child would receive 25.5 mSv from plain films</w:t>
      </w:r>
      <w:r w:rsidR="002621CB">
        <w:rPr>
          <w:rFonts w:ascii="Times New Roman" w:hAnsi="Times New Roman"/>
          <w:i/>
          <w:iCs/>
        </w:rPr>
        <w:t>,</w:t>
      </w:r>
      <w:r w:rsidRPr="002621CB">
        <w:rPr>
          <w:rFonts w:ascii="Times New Roman" w:hAnsi="Times New Roman"/>
          <w:i/>
          <w:iCs/>
        </w:rPr>
        <w:t xml:space="preserve"> which is about 1.7 mSv per year</w:t>
      </w:r>
      <w:r w:rsidR="002621CB">
        <w:rPr>
          <w:rFonts w:ascii="Times New Roman" w:hAnsi="Times New Roman"/>
          <w:i/>
          <w:iCs/>
        </w:rPr>
        <w:t>, accounting for exposure that is</w:t>
      </w:r>
      <w:r w:rsidRPr="002621CB">
        <w:rPr>
          <w:rFonts w:ascii="Times New Roman" w:hAnsi="Times New Roman"/>
          <w:i/>
          <w:iCs/>
        </w:rPr>
        <w:t xml:space="preserve"> </w:t>
      </w:r>
      <w:r w:rsidR="002621CB">
        <w:rPr>
          <w:rFonts w:ascii="Times New Roman" w:hAnsi="Times New Roman"/>
          <w:i/>
          <w:iCs/>
        </w:rPr>
        <w:t xml:space="preserve">comfortably </w:t>
      </w:r>
      <w:r w:rsidRPr="002621CB">
        <w:rPr>
          <w:rFonts w:ascii="Times New Roman" w:hAnsi="Times New Roman"/>
          <w:i/>
          <w:iCs/>
        </w:rPr>
        <w:t xml:space="preserve">below the 10 mSv limit suggested by Thorne. However, if this child requires surgery and received 2 pre-operative CT scans (0.942 mSv each), intraoperative fluoroscopy, and a post-operative CT scan, the total dose would rise to 28.45 mSv. </w:t>
      </w:r>
    </w:p>
    <w:p w14:paraId="115DD603" w14:textId="77777777" w:rsidR="00367E72" w:rsidRPr="002621CB" w:rsidRDefault="00367E72" w:rsidP="002621CB">
      <w:pPr>
        <w:pStyle w:val="MDPI31text"/>
        <w:ind w:left="695" w:right="2466"/>
        <w:rPr>
          <w:rFonts w:ascii="Times New Roman" w:hAnsi="Times New Roman"/>
          <w:i/>
          <w:iCs/>
        </w:rPr>
      </w:pPr>
    </w:p>
    <w:p w14:paraId="57E7EC6F" w14:textId="6977D01B" w:rsidR="00367E72" w:rsidRPr="002621CB" w:rsidRDefault="00367E72" w:rsidP="002621CB">
      <w:pPr>
        <w:pStyle w:val="MDPI31text"/>
        <w:ind w:left="695" w:right="2466"/>
        <w:rPr>
          <w:rFonts w:ascii="Times New Roman" w:hAnsi="Times New Roman"/>
          <w:i/>
          <w:iCs/>
        </w:rPr>
      </w:pPr>
      <w:r w:rsidRPr="002621CB">
        <w:rPr>
          <w:rFonts w:ascii="Times New Roman" w:hAnsi="Times New Roman"/>
          <w:i/>
          <w:iCs/>
        </w:rPr>
        <w:t xml:space="preserve">An 11-year-old </w:t>
      </w:r>
      <w:r w:rsidR="002621CB">
        <w:rPr>
          <w:rFonts w:ascii="Times New Roman" w:hAnsi="Times New Roman"/>
          <w:i/>
          <w:iCs/>
        </w:rPr>
        <w:t xml:space="preserve">child </w:t>
      </w:r>
      <w:r w:rsidRPr="002621CB">
        <w:rPr>
          <w:rFonts w:ascii="Times New Roman" w:hAnsi="Times New Roman"/>
          <w:i/>
          <w:iCs/>
        </w:rPr>
        <w:t xml:space="preserve">with moderate AIS that needs 3 x-rays per year until age 16 would receive 6.8 mSv across 5 years, or 1.36 mSv per year. </w:t>
      </w:r>
    </w:p>
    <w:p w14:paraId="776632C4" w14:textId="77777777" w:rsidR="00367E72" w:rsidRPr="002621CB" w:rsidRDefault="00367E72" w:rsidP="002621CB">
      <w:pPr>
        <w:pStyle w:val="MDPI31text"/>
        <w:ind w:left="695" w:right="2466"/>
        <w:rPr>
          <w:rFonts w:ascii="Times New Roman" w:hAnsi="Times New Roman"/>
          <w:i/>
          <w:iCs/>
        </w:rPr>
      </w:pPr>
    </w:p>
    <w:p w14:paraId="26B67E3E" w14:textId="2EBDE783" w:rsidR="00367E72" w:rsidRPr="002621CB" w:rsidRDefault="00367E72" w:rsidP="002621CB">
      <w:pPr>
        <w:pStyle w:val="MDPI31text"/>
        <w:ind w:left="695" w:right="2466"/>
        <w:rPr>
          <w:rFonts w:ascii="Times New Roman" w:hAnsi="Times New Roman"/>
          <w:i/>
          <w:iCs/>
        </w:rPr>
      </w:pPr>
      <w:r w:rsidRPr="002621CB">
        <w:rPr>
          <w:rFonts w:ascii="Times New Roman" w:hAnsi="Times New Roman"/>
          <w:i/>
          <w:iCs/>
        </w:rPr>
        <w:t>A 12-year</w:t>
      </w:r>
      <w:r w:rsidR="002621CB">
        <w:rPr>
          <w:rFonts w:ascii="Times New Roman" w:hAnsi="Times New Roman"/>
          <w:i/>
          <w:iCs/>
        </w:rPr>
        <w:t>-</w:t>
      </w:r>
      <w:r w:rsidRPr="002621CB">
        <w:rPr>
          <w:rFonts w:ascii="Times New Roman" w:hAnsi="Times New Roman"/>
          <w:i/>
          <w:iCs/>
        </w:rPr>
        <w:t xml:space="preserve">old </w:t>
      </w:r>
      <w:r w:rsidR="002621CB">
        <w:rPr>
          <w:rFonts w:ascii="Times New Roman" w:hAnsi="Times New Roman"/>
          <w:i/>
          <w:iCs/>
        </w:rPr>
        <w:t xml:space="preserve">child </w:t>
      </w:r>
      <w:r w:rsidRPr="002621CB">
        <w:rPr>
          <w:rFonts w:ascii="Times New Roman" w:hAnsi="Times New Roman"/>
          <w:i/>
          <w:iCs/>
        </w:rPr>
        <w:t xml:space="preserve">with AIS whose curve is worsening needs 4 x-rays per year, receiving 1.7 mSv per year. When this child undergoes surgery, </w:t>
      </w:r>
      <w:r w:rsidR="002621CB">
        <w:rPr>
          <w:rFonts w:ascii="Times New Roman" w:hAnsi="Times New Roman"/>
          <w:i/>
          <w:iCs/>
        </w:rPr>
        <w:t>they</w:t>
      </w:r>
      <w:r w:rsidRPr="002621CB">
        <w:rPr>
          <w:rFonts w:ascii="Times New Roman" w:hAnsi="Times New Roman"/>
          <w:i/>
          <w:iCs/>
        </w:rPr>
        <w:t xml:space="preserve"> could receive 1 pre-operative CT scan, intraoperative fluoroscopy, and 1 post-operative CT scan, bringing </w:t>
      </w:r>
      <w:r w:rsidR="002621CB">
        <w:rPr>
          <w:rFonts w:ascii="Times New Roman" w:hAnsi="Times New Roman"/>
          <w:i/>
          <w:iCs/>
        </w:rPr>
        <w:t>their</w:t>
      </w:r>
      <w:r w:rsidRPr="002621CB">
        <w:rPr>
          <w:rFonts w:ascii="Times New Roman" w:hAnsi="Times New Roman"/>
          <w:i/>
          <w:iCs/>
        </w:rPr>
        <w:t xml:space="preserve"> total dose to 12.21 mSv. </w:t>
      </w:r>
    </w:p>
    <w:p w14:paraId="4215DFDF" w14:textId="77777777" w:rsidR="00367E72" w:rsidRPr="002621CB" w:rsidRDefault="00367E72" w:rsidP="002621CB">
      <w:pPr>
        <w:pStyle w:val="MDPI31text"/>
        <w:ind w:left="695" w:right="2466"/>
        <w:rPr>
          <w:rFonts w:ascii="Times New Roman" w:hAnsi="Times New Roman"/>
          <w:i/>
          <w:iCs/>
        </w:rPr>
      </w:pPr>
    </w:p>
    <w:p w14:paraId="4A40E6AB" w14:textId="03D04338" w:rsidR="00794574" w:rsidRPr="002621CB" w:rsidRDefault="00367E72" w:rsidP="002621CB">
      <w:pPr>
        <w:pStyle w:val="MDPI31text"/>
        <w:ind w:left="695" w:right="2466"/>
        <w:rPr>
          <w:rFonts w:ascii="Times New Roman" w:hAnsi="Times New Roman"/>
          <w:i/>
          <w:iCs/>
        </w:rPr>
      </w:pPr>
      <w:r w:rsidRPr="002621CB">
        <w:rPr>
          <w:rFonts w:ascii="Times New Roman" w:hAnsi="Times New Roman"/>
          <w:i/>
          <w:iCs/>
        </w:rPr>
        <w:lastRenderedPageBreak/>
        <w:t>A</w:t>
      </w:r>
      <w:r w:rsidR="00D2290F" w:rsidRPr="002621CB">
        <w:rPr>
          <w:rFonts w:ascii="Times New Roman" w:hAnsi="Times New Roman"/>
          <w:i/>
          <w:iCs/>
        </w:rPr>
        <w:t xml:space="preserve"> </w:t>
      </w:r>
      <w:r w:rsidRPr="002621CB">
        <w:rPr>
          <w:rFonts w:ascii="Times New Roman" w:hAnsi="Times New Roman"/>
          <w:i/>
          <w:iCs/>
        </w:rPr>
        <w:t xml:space="preserve">14-year-old </w:t>
      </w:r>
      <w:r w:rsidR="002621CB">
        <w:rPr>
          <w:rFonts w:ascii="Times New Roman" w:hAnsi="Times New Roman"/>
          <w:i/>
          <w:iCs/>
        </w:rPr>
        <w:t xml:space="preserve">child </w:t>
      </w:r>
      <w:r w:rsidRPr="002621CB">
        <w:rPr>
          <w:rFonts w:ascii="Times New Roman" w:hAnsi="Times New Roman"/>
          <w:i/>
          <w:iCs/>
        </w:rPr>
        <w:t>with a small curve that needs 1 x-ray per year until age 16 would receive 2.04 mSv across 3 years</w:t>
      </w:r>
      <w:r w:rsidR="002621CB">
        <w:rPr>
          <w:rFonts w:ascii="Times New Roman" w:hAnsi="Times New Roman"/>
          <w:i/>
          <w:iCs/>
        </w:rPr>
        <w:t>,</w:t>
      </w:r>
      <w:r w:rsidRPr="002621CB">
        <w:rPr>
          <w:rFonts w:ascii="Times New Roman" w:hAnsi="Times New Roman"/>
          <w:i/>
          <w:iCs/>
        </w:rPr>
        <w:t xml:space="preserve"> or 0.68 mSv per year.</w:t>
      </w:r>
    </w:p>
    <w:p w14:paraId="2B5DBE9F" w14:textId="77777777" w:rsidR="00B56199" w:rsidRPr="00C46B3C" w:rsidRDefault="00B56199" w:rsidP="0068698C">
      <w:pPr>
        <w:pStyle w:val="MDPI21heading1"/>
        <w:ind w:left="270" w:right="2466"/>
        <w:rPr>
          <w:rFonts w:ascii="Times New Roman" w:hAnsi="Times New Roman"/>
        </w:rPr>
      </w:pPr>
      <w:r w:rsidRPr="00C46B3C">
        <w:rPr>
          <w:rFonts w:ascii="Times New Roman" w:hAnsi="Times New Roman"/>
        </w:rPr>
        <w:t>3. Results</w:t>
      </w:r>
    </w:p>
    <w:p w14:paraId="24890611" w14:textId="77777777" w:rsidR="0086185D" w:rsidRPr="00C46B3C" w:rsidRDefault="0086185D" w:rsidP="0086185D">
      <w:pPr>
        <w:rPr>
          <w:rFonts w:ascii="Times New Roman" w:hAnsi="Times New Roman"/>
          <w:b/>
          <w:bCs/>
        </w:rPr>
      </w:pPr>
      <w:r w:rsidRPr="00C46B3C">
        <w:rPr>
          <w:rFonts w:ascii="Times New Roman" w:hAnsi="Times New Roman"/>
          <w:b/>
          <w:bCs/>
        </w:rPr>
        <w:t xml:space="preserve">Table 2.  </w:t>
      </w:r>
      <w:r w:rsidRPr="002621CB">
        <w:rPr>
          <w:rFonts w:ascii="Times New Roman" w:hAnsi="Times New Roman"/>
        </w:rPr>
        <w:t>Calculation of radiation doses in example cases</w:t>
      </w:r>
    </w:p>
    <w:tbl>
      <w:tblPr>
        <w:tblStyle w:val="TableGrid"/>
        <w:tblW w:w="0" w:type="auto"/>
        <w:tblLook w:val="04A0" w:firstRow="1" w:lastRow="0" w:firstColumn="1" w:lastColumn="0" w:noHBand="0" w:noVBand="1"/>
      </w:tblPr>
      <w:tblGrid>
        <w:gridCol w:w="1838"/>
        <w:gridCol w:w="1134"/>
        <w:gridCol w:w="1418"/>
        <w:gridCol w:w="1559"/>
        <w:gridCol w:w="1009"/>
        <w:gridCol w:w="1375"/>
      </w:tblGrid>
      <w:tr w:rsidR="0086185D" w:rsidRPr="00C46B3C" w14:paraId="01A0FFD1" w14:textId="77777777" w:rsidTr="002621CB">
        <w:trPr>
          <w:trHeight w:val="519"/>
        </w:trPr>
        <w:tc>
          <w:tcPr>
            <w:tcW w:w="1838" w:type="dxa"/>
            <w:vAlign w:val="center"/>
          </w:tcPr>
          <w:p w14:paraId="37BA71C6" w14:textId="77777777" w:rsidR="0086185D" w:rsidRPr="00C46B3C" w:rsidRDefault="0086185D" w:rsidP="002621CB">
            <w:pPr>
              <w:jc w:val="center"/>
              <w:rPr>
                <w:rFonts w:ascii="Times New Roman" w:hAnsi="Times New Roman"/>
              </w:rPr>
            </w:pPr>
            <w:r w:rsidRPr="00C46B3C">
              <w:rPr>
                <w:rFonts w:ascii="Times New Roman" w:hAnsi="Times New Roman"/>
                <w:b/>
                <w:bCs/>
              </w:rPr>
              <w:t>Example Case</w:t>
            </w:r>
          </w:p>
        </w:tc>
        <w:tc>
          <w:tcPr>
            <w:tcW w:w="1134" w:type="dxa"/>
            <w:vAlign w:val="center"/>
          </w:tcPr>
          <w:p w14:paraId="06AB8A3B" w14:textId="77777777" w:rsidR="0086185D" w:rsidRPr="00C46B3C" w:rsidRDefault="0086185D" w:rsidP="002621CB">
            <w:pPr>
              <w:jc w:val="center"/>
              <w:rPr>
                <w:rFonts w:ascii="Times New Roman" w:hAnsi="Times New Roman"/>
                <w:b/>
                <w:bCs/>
              </w:rPr>
            </w:pPr>
            <w:r w:rsidRPr="00C46B3C">
              <w:rPr>
                <w:rFonts w:ascii="Times New Roman" w:hAnsi="Times New Roman"/>
                <w:b/>
                <w:bCs/>
              </w:rPr>
              <w:t>X-rays</w:t>
            </w:r>
          </w:p>
        </w:tc>
        <w:tc>
          <w:tcPr>
            <w:tcW w:w="1418" w:type="dxa"/>
            <w:vAlign w:val="center"/>
          </w:tcPr>
          <w:p w14:paraId="7DE2AFFA" w14:textId="77777777" w:rsidR="0086185D" w:rsidRPr="00C46B3C" w:rsidRDefault="0086185D" w:rsidP="002621CB">
            <w:pPr>
              <w:jc w:val="center"/>
              <w:rPr>
                <w:rFonts w:ascii="Times New Roman" w:hAnsi="Times New Roman"/>
                <w:b/>
                <w:bCs/>
              </w:rPr>
            </w:pPr>
            <w:r w:rsidRPr="00C46B3C">
              <w:rPr>
                <w:rFonts w:ascii="Times New Roman" w:hAnsi="Times New Roman"/>
                <w:b/>
                <w:bCs/>
              </w:rPr>
              <w:t>CT scans</w:t>
            </w:r>
          </w:p>
        </w:tc>
        <w:tc>
          <w:tcPr>
            <w:tcW w:w="1559" w:type="dxa"/>
            <w:vAlign w:val="center"/>
          </w:tcPr>
          <w:p w14:paraId="7C861303" w14:textId="77777777" w:rsidR="0086185D" w:rsidRPr="00C46B3C" w:rsidRDefault="0086185D" w:rsidP="002621CB">
            <w:pPr>
              <w:jc w:val="center"/>
              <w:rPr>
                <w:rFonts w:ascii="Times New Roman" w:hAnsi="Times New Roman"/>
                <w:b/>
                <w:bCs/>
              </w:rPr>
            </w:pPr>
            <w:r w:rsidRPr="00C46B3C">
              <w:rPr>
                <w:rFonts w:ascii="Times New Roman" w:hAnsi="Times New Roman"/>
                <w:b/>
                <w:bCs/>
              </w:rPr>
              <w:t>Intraoperative Fluoroscopy</w:t>
            </w:r>
          </w:p>
        </w:tc>
        <w:tc>
          <w:tcPr>
            <w:tcW w:w="1009" w:type="dxa"/>
            <w:vAlign w:val="center"/>
          </w:tcPr>
          <w:p w14:paraId="3E944A68" w14:textId="77777777" w:rsidR="0086185D" w:rsidRPr="00C46B3C" w:rsidRDefault="0086185D" w:rsidP="002621CB">
            <w:pPr>
              <w:jc w:val="center"/>
              <w:rPr>
                <w:rFonts w:ascii="Times New Roman" w:hAnsi="Times New Roman"/>
                <w:b/>
                <w:bCs/>
              </w:rPr>
            </w:pPr>
            <w:r w:rsidRPr="00C46B3C">
              <w:rPr>
                <w:rFonts w:ascii="Times New Roman" w:hAnsi="Times New Roman"/>
                <w:b/>
                <w:bCs/>
              </w:rPr>
              <w:t>Dose per year</w:t>
            </w:r>
          </w:p>
        </w:tc>
        <w:tc>
          <w:tcPr>
            <w:tcW w:w="1375" w:type="dxa"/>
            <w:vAlign w:val="center"/>
          </w:tcPr>
          <w:p w14:paraId="59F75C69" w14:textId="77777777" w:rsidR="0086185D" w:rsidRPr="00C46B3C" w:rsidRDefault="0086185D" w:rsidP="002621CB">
            <w:pPr>
              <w:jc w:val="center"/>
              <w:rPr>
                <w:rFonts w:ascii="Times New Roman" w:hAnsi="Times New Roman"/>
                <w:b/>
                <w:bCs/>
              </w:rPr>
            </w:pPr>
            <w:r w:rsidRPr="00C46B3C">
              <w:rPr>
                <w:rFonts w:ascii="Times New Roman" w:hAnsi="Times New Roman"/>
                <w:b/>
                <w:bCs/>
              </w:rPr>
              <w:t>Total Dose</w:t>
            </w:r>
          </w:p>
        </w:tc>
      </w:tr>
      <w:tr w:rsidR="0086185D" w:rsidRPr="00C46B3C" w14:paraId="22FEFBF9" w14:textId="77777777" w:rsidTr="002621CB">
        <w:trPr>
          <w:trHeight w:val="1282"/>
        </w:trPr>
        <w:tc>
          <w:tcPr>
            <w:tcW w:w="1838" w:type="dxa"/>
            <w:vAlign w:val="center"/>
          </w:tcPr>
          <w:p w14:paraId="188295F9" w14:textId="77777777" w:rsidR="0086185D" w:rsidRPr="00C46B3C" w:rsidRDefault="0086185D" w:rsidP="002621CB">
            <w:pPr>
              <w:jc w:val="left"/>
              <w:rPr>
                <w:rFonts w:ascii="Times New Roman" w:hAnsi="Times New Roman"/>
              </w:rPr>
            </w:pPr>
            <w:r w:rsidRPr="00C46B3C">
              <w:rPr>
                <w:rFonts w:ascii="Times New Roman" w:hAnsi="Times New Roman"/>
              </w:rPr>
              <w:t>3-year-old with early onset scoliosis operative category</w:t>
            </w:r>
          </w:p>
        </w:tc>
        <w:tc>
          <w:tcPr>
            <w:tcW w:w="1134" w:type="dxa"/>
            <w:vAlign w:val="center"/>
          </w:tcPr>
          <w:p w14:paraId="64C028E7" w14:textId="77777777" w:rsidR="0086185D" w:rsidRPr="00C46B3C" w:rsidRDefault="0086185D" w:rsidP="002621CB">
            <w:pPr>
              <w:jc w:val="center"/>
              <w:rPr>
                <w:rFonts w:ascii="Times New Roman" w:hAnsi="Times New Roman"/>
              </w:rPr>
            </w:pPr>
            <w:r w:rsidRPr="00C46B3C">
              <w:rPr>
                <w:rFonts w:ascii="Times New Roman" w:hAnsi="Times New Roman"/>
              </w:rPr>
              <w:t>4 per year</w:t>
            </w:r>
          </w:p>
          <w:p w14:paraId="3AEE1B25" w14:textId="77777777" w:rsidR="0086185D" w:rsidRPr="00C46B3C" w:rsidRDefault="0086185D" w:rsidP="002621CB">
            <w:pPr>
              <w:jc w:val="center"/>
              <w:rPr>
                <w:rFonts w:ascii="Times New Roman" w:hAnsi="Times New Roman"/>
              </w:rPr>
            </w:pPr>
          </w:p>
        </w:tc>
        <w:tc>
          <w:tcPr>
            <w:tcW w:w="1418" w:type="dxa"/>
            <w:vAlign w:val="center"/>
          </w:tcPr>
          <w:p w14:paraId="5B9427EA" w14:textId="77777777" w:rsidR="0086185D" w:rsidRPr="00C46B3C" w:rsidRDefault="0086185D" w:rsidP="002621CB">
            <w:pPr>
              <w:jc w:val="center"/>
              <w:rPr>
                <w:rFonts w:ascii="Times New Roman" w:hAnsi="Times New Roman"/>
              </w:rPr>
            </w:pPr>
            <w:r w:rsidRPr="00C46B3C">
              <w:rPr>
                <w:rFonts w:ascii="Times New Roman" w:hAnsi="Times New Roman"/>
              </w:rPr>
              <w:t>2 pre-op, 1 post-op</w:t>
            </w:r>
          </w:p>
          <w:p w14:paraId="5DCC352A" w14:textId="77777777" w:rsidR="0086185D" w:rsidRPr="00C46B3C" w:rsidRDefault="0086185D" w:rsidP="002621CB">
            <w:pPr>
              <w:jc w:val="center"/>
              <w:rPr>
                <w:rFonts w:ascii="Times New Roman" w:hAnsi="Times New Roman"/>
              </w:rPr>
            </w:pPr>
          </w:p>
        </w:tc>
        <w:tc>
          <w:tcPr>
            <w:tcW w:w="1559" w:type="dxa"/>
            <w:vAlign w:val="center"/>
          </w:tcPr>
          <w:p w14:paraId="7E208171" w14:textId="77777777" w:rsidR="0086185D" w:rsidRPr="00C46B3C" w:rsidRDefault="0086185D" w:rsidP="002621CB">
            <w:pPr>
              <w:jc w:val="center"/>
              <w:rPr>
                <w:rFonts w:ascii="Times New Roman" w:hAnsi="Times New Roman"/>
              </w:rPr>
            </w:pPr>
            <w:r w:rsidRPr="00C46B3C">
              <w:rPr>
                <w:rFonts w:ascii="Times New Roman" w:hAnsi="Times New Roman"/>
              </w:rPr>
              <w:t>Yes</w:t>
            </w:r>
          </w:p>
        </w:tc>
        <w:tc>
          <w:tcPr>
            <w:tcW w:w="1009" w:type="dxa"/>
            <w:vAlign w:val="center"/>
          </w:tcPr>
          <w:p w14:paraId="4012CF8D" w14:textId="77777777" w:rsidR="0086185D" w:rsidRPr="00C46B3C" w:rsidRDefault="0086185D" w:rsidP="002621CB">
            <w:pPr>
              <w:jc w:val="center"/>
              <w:rPr>
                <w:rFonts w:ascii="Times New Roman" w:hAnsi="Times New Roman"/>
              </w:rPr>
            </w:pPr>
            <w:r w:rsidRPr="00C46B3C">
              <w:rPr>
                <w:rFonts w:ascii="Times New Roman" w:hAnsi="Times New Roman"/>
              </w:rPr>
              <w:t>1.7 mSv</w:t>
            </w:r>
          </w:p>
        </w:tc>
        <w:tc>
          <w:tcPr>
            <w:tcW w:w="1375" w:type="dxa"/>
            <w:vAlign w:val="center"/>
          </w:tcPr>
          <w:p w14:paraId="2CB125AC" w14:textId="77777777" w:rsidR="0086185D" w:rsidRPr="00C46B3C" w:rsidRDefault="0086185D" w:rsidP="002621CB">
            <w:pPr>
              <w:jc w:val="center"/>
              <w:rPr>
                <w:rFonts w:ascii="Times New Roman" w:hAnsi="Times New Roman"/>
              </w:rPr>
            </w:pPr>
            <w:r w:rsidRPr="00C46B3C">
              <w:rPr>
                <w:rFonts w:ascii="Times New Roman" w:hAnsi="Times New Roman"/>
              </w:rPr>
              <w:t>28.45 mSv</w:t>
            </w:r>
          </w:p>
        </w:tc>
      </w:tr>
      <w:tr w:rsidR="0086185D" w:rsidRPr="00C46B3C" w14:paraId="1A81DD52" w14:textId="77777777" w:rsidTr="002621CB">
        <w:trPr>
          <w:trHeight w:val="778"/>
        </w:trPr>
        <w:tc>
          <w:tcPr>
            <w:tcW w:w="1838" w:type="dxa"/>
            <w:vAlign w:val="center"/>
          </w:tcPr>
          <w:p w14:paraId="2B1533AF" w14:textId="77777777" w:rsidR="0086185D" w:rsidRPr="00C46B3C" w:rsidRDefault="0086185D" w:rsidP="002621CB">
            <w:pPr>
              <w:jc w:val="left"/>
              <w:rPr>
                <w:rFonts w:ascii="Times New Roman" w:hAnsi="Times New Roman"/>
              </w:rPr>
            </w:pPr>
            <w:r w:rsidRPr="00C46B3C">
              <w:rPr>
                <w:rFonts w:ascii="Times New Roman" w:hAnsi="Times New Roman"/>
              </w:rPr>
              <w:t>11-year-old with AIS who is immature</w:t>
            </w:r>
          </w:p>
        </w:tc>
        <w:tc>
          <w:tcPr>
            <w:tcW w:w="1134" w:type="dxa"/>
            <w:vAlign w:val="center"/>
          </w:tcPr>
          <w:p w14:paraId="676C8B33" w14:textId="77777777" w:rsidR="0086185D" w:rsidRPr="00C46B3C" w:rsidRDefault="0086185D" w:rsidP="002621CB">
            <w:pPr>
              <w:jc w:val="center"/>
              <w:rPr>
                <w:rFonts w:ascii="Times New Roman" w:hAnsi="Times New Roman"/>
              </w:rPr>
            </w:pPr>
            <w:r w:rsidRPr="00C46B3C">
              <w:rPr>
                <w:rFonts w:ascii="Times New Roman" w:hAnsi="Times New Roman"/>
              </w:rPr>
              <w:t>3 per year</w:t>
            </w:r>
          </w:p>
          <w:p w14:paraId="4A25206F" w14:textId="77777777" w:rsidR="0086185D" w:rsidRPr="00C46B3C" w:rsidRDefault="0086185D" w:rsidP="002621CB">
            <w:pPr>
              <w:jc w:val="center"/>
              <w:rPr>
                <w:rFonts w:ascii="Times New Roman" w:hAnsi="Times New Roman"/>
              </w:rPr>
            </w:pPr>
          </w:p>
        </w:tc>
        <w:tc>
          <w:tcPr>
            <w:tcW w:w="1418" w:type="dxa"/>
            <w:vAlign w:val="center"/>
          </w:tcPr>
          <w:p w14:paraId="0D5A144D" w14:textId="77777777" w:rsidR="0086185D" w:rsidRPr="00C46B3C" w:rsidRDefault="0086185D" w:rsidP="002621CB">
            <w:pPr>
              <w:jc w:val="center"/>
              <w:rPr>
                <w:rFonts w:ascii="Times New Roman" w:hAnsi="Times New Roman"/>
              </w:rPr>
            </w:pPr>
            <w:r w:rsidRPr="00C46B3C">
              <w:rPr>
                <w:rFonts w:ascii="Times New Roman" w:hAnsi="Times New Roman"/>
              </w:rPr>
              <w:t>-</w:t>
            </w:r>
          </w:p>
        </w:tc>
        <w:tc>
          <w:tcPr>
            <w:tcW w:w="1559" w:type="dxa"/>
            <w:vAlign w:val="center"/>
          </w:tcPr>
          <w:p w14:paraId="53C97682" w14:textId="77777777" w:rsidR="0086185D" w:rsidRPr="00C46B3C" w:rsidRDefault="0086185D" w:rsidP="002621CB">
            <w:pPr>
              <w:jc w:val="center"/>
              <w:rPr>
                <w:rFonts w:ascii="Times New Roman" w:hAnsi="Times New Roman"/>
              </w:rPr>
            </w:pPr>
            <w:r w:rsidRPr="00C46B3C">
              <w:rPr>
                <w:rFonts w:ascii="Times New Roman" w:hAnsi="Times New Roman"/>
              </w:rPr>
              <w:t>-</w:t>
            </w:r>
          </w:p>
        </w:tc>
        <w:tc>
          <w:tcPr>
            <w:tcW w:w="1009" w:type="dxa"/>
            <w:vAlign w:val="center"/>
          </w:tcPr>
          <w:p w14:paraId="72D43D54" w14:textId="77777777" w:rsidR="0086185D" w:rsidRPr="00C46B3C" w:rsidRDefault="0086185D" w:rsidP="002621CB">
            <w:pPr>
              <w:jc w:val="center"/>
              <w:rPr>
                <w:rFonts w:ascii="Times New Roman" w:hAnsi="Times New Roman"/>
              </w:rPr>
            </w:pPr>
            <w:r w:rsidRPr="00C46B3C">
              <w:rPr>
                <w:rFonts w:ascii="Times New Roman" w:hAnsi="Times New Roman"/>
              </w:rPr>
              <w:t>1.36 mSv</w:t>
            </w:r>
          </w:p>
        </w:tc>
        <w:tc>
          <w:tcPr>
            <w:tcW w:w="1375" w:type="dxa"/>
            <w:vAlign w:val="center"/>
          </w:tcPr>
          <w:p w14:paraId="5341B321" w14:textId="77777777" w:rsidR="0086185D" w:rsidRPr="00C46B3C" w:rsidRDefault="0086185D" w:rsidP="002621CB">
            <w:pPr>
              <w:jc w:val="center"/>
              <w:rPr>
                <w:rFonts w:ascii="Times New Roman" w:hAnsi="Times New Roman"/>
              </w:rPr>
            </w:pPr>
            <w:r w:rsidRPr="00C46B3C">
              <w:rPr>
                <w:rFonts w:ascii="Times New Roman" w:hAnsi="Times New Roman"/>
              </w:rPr>
              <w:t>6.8 mSv</w:t>
            </w:r>
          </w:p>
        </w:tc>
      </w:tr>
      <w:tr w:rsidR="0086185D" w:rsidRPr="00C46B3C" w14:paraId="05A2352E" w14:textId="77777777" w:rsidTr="002621CB">
        <w:trPr>
          <w:trHeight w:val="1022"/>
        </w:trPr>
        <w:tc>
          <w:tcPr>
            <w:tcW w:w="1838" w:type="dxa"/>
            <w:vAlign w:val="center"/>
          </w:tcPr>
          <w:p w14:paraId="03144E96" w14:textId="77777777" w:rsidR="0086185D" w:rsidRPr="00C46B3C" w:rsidRDefault="0086185D" w:rsidP="002621CB">
            <w:pPr>
              <w:jc w:val="left"/>
              <w:rPr>
                <w:rFonts w:ascii="Times New Roman" w:hAnsi="Times New Roman"/>
              </w:rPr>
            </w:pPr>
            <w:r w:rsidRPr="00C46B3C">
              <w:rPr>
                <w:rFonts w:ascii="Times New Roman" w:hAnsi="Times New Roman"/>
              </w:rPr>
              <w:t>12-year-old with worsening curve, operative category</w:t>
            </w:r>
          </w:p>
        </w:tc>
        <w:tc>
          <w:tcPr>
            <w:tcW w:w="1134" w:type="dxa"/>
            <w:vAlign w:val="center"/>
          </w:tcPr>
          <w:p w14:paraId="3D178205" w14:textId="77777777" w:rsidR="0086185D" w:rsidRPr="00C46B3C" w:rsidRDefault="0086185D" w:rsidP="002621CB">
            <w:pPr>
              <w:jc w:val="center"/>
              <w:rPr>
                <w:rFonts w:ascii="Times New Roman" w:hAnsi="Times New Roman"/>
              </w:rPr>
            </w:pPr>
            <w:r w:rsidRPr="00C46B3C">
              <w:rPr>
                <w:rFonts w:ascii="Times New Roman" w:hAnsi="Times New Roman"/>
              </w:rPr>
              <w:t>4 per year</w:t>
            </w:r>
          </w:p>
          <w:p w14:paraId="49E3D621" w14:textId="77777777" w:rsidR="0086185D" w:rsidRPr="00C46B3C" w:rsidRDefault="0086185D" w:rsidP="002621CB">
            <w:pPr>
              <w:jc w:val="center"/>
              <w:rPr>
                <w:rFonts w:ascii="Times New Roman" w:hAnsi="Times New Roman"/>
              </w:rPr>
            </w:pPr>
          </w:p>
        </w:tc>
        <w:tc>
          <w:tcPr>
            <w:tcW w:w="1418" w:type="dxa"/>
            <w:vAlign w:val="center"/>
          </w:tcPr>
          <w:p w14:paraId="449A9870" w14:textId="77777777" w:rsidR="0086185D" w:rsidRPr="00C46B3C" w:rsidRDefault="0086185D" w:rsidP="002621CB">
            <w:pPr>
              <w:jc w:val="center"/>
              <w:rPr>
                <w:rFonts w:ascii="Times New Roman" w:hAnsi="Times New Roman"/>
              </w:rPr>
            </w:pPr>
            <w:r w:rsidRPr="00C46B3C">
              <w:rPr>
                <w:rFonts w:ascii="Times New Roman" w:hAnsi="Times New Roman"/>
              </w:rPr>
              <w:t>1 pre-op, 1 post-op</w:t>
            </w:r>
          </w:p>
          <w:p w14:paraId="79D6E277" w14:textId="77777777" w:rsidR="0086185D" w:rsidRPr="00C46B3C" w:rsidRDefault="0086185D" w:rsidP="002621CB">
            <w:pPr>
              <w:jc w:val="center"/>
              <w:rPr>
                <w:rFonts w:ascii="Times New Roman" w:hAnsi="Times New Roman"/>
              </w:rPr>
            </w:pPr>
          </w:p>
        </w:tc>
        <w:tc>
          <w:tcPr>
            <w:tcW w:w="1559" w:type="dxa"/>
            <w:vAlign w:val="center"/>
          </w:tcPr>
          <w:p w14:paraId="43BAF102" w14:textId="77777777" w:rsidR="0086185D" w:rsidRPr="00C46B3C" w:rsidRDefault="0086185D" w:rsidP="002621CB">
            <w:pPr>
              <w:jc w:val="center"/>
              <w:rPr>
                <w:rFonts w:ascii="Times New Roman" w:hAnsi="Times New Roman"/>
              </w:rPr>
            </w:pPr>
            <w:r w:rsidRPr="00C46B3C">
              <w:rPr>
                <w:rFonts w:ascii="Times New Roman" w:hAnsi="Times New Roman"/>
              </w:rPr>
              <w:t>Yes</w:t>
            </w:r>
          </w:p>
        </w:tc>
        <w:tc>
          <w:tcPr>
            <w:tcW w:w="1009" w:type="dxa"/>
            <w:vAlign w:val="center"/>
          </w:tcPr>
          <w:p w14:paraId="75BCA447" w14:textId="77777777" w:rsidR="0086185D" w:rsidRPr="00C46B3C" w:rsidRDefault="0086185D" w:rsidP="002621CB">
            <w:pPr>
              <w:jc w:val="center"/>
              <w:rPr>
                <w:rFonts w:ascii="Times New Roman" w:hAnsi="Times New Roman"/>
              </w:rPr>
            </w:pPr>
            <w:r w:rsidRPr="00C46B3C">
              <w:rPr>
                <w:rFonts w:ascii="Times New Roman" w:hAnsi="Times New Roman"/>
              </w:rPr>
              <w:t>1.7 mSv</w:t>
            </w:r>
          </w:p>
        </w:tc>
        <w:tc>
          <w:tcPr>
            <w:tcW w:w="1375" w:type="dxa"/>
            <w:vAlign w:val="center"/>
          </w:tcPr>
          <w:p w14:paraId="60F72DBA" w14:textId="77777777" w:rsidR="0086185D" w:rsidRPr="00C46B3C" w:rsidRDefault="0086185D" w:rsidP="002621CB">
            <w:pPr>
              <w:jc w:val="center"/>
              <w:rPr>
                <w:rFonts w:ascii="Times New Roman" w:hAnsi="Times New Roman"/>
              </w:rPr>
            </w:pPr>
            <w:r w:rsidRPr="00C46B3C">
              <w:rPr>
                <w:rFonts w:ascii="Times New Roman" w:hAnsi="Times New Roman"/>
              </w:rPr>
              <w:t>12.21 mSv</w:t>
            </w:r>
          </w:p>
        </w:tc>
      </w:tr>
      <w:tr w:rsidR="0086185D" w:rsidRPr="00C46B3C" w14:paraId="101BB06E" w14:textId="77777777" w:rsidTr="002621CB">
        <w:trPr>
          <w:trHeight w:val="763"/>
        </w:trPr>
        <w:tc>
          <w:tcPr>
            <w:tcW w:w="1838" w:type="dxa"/>
            <w:vAlign w:val="center"/>
          </w:tcPr>
          <w:p w14:paraId="3ADEDBCF" w14:textId="77777777" w:rsidR="0086185D" w:rsidRPr="00C46B3C" w:rsidRDefault="0086185D" w:rsidP="002621CB">
            <w:pPr>
              <w:jc w:val="left"/>
              <w:rPr>
                <w:rFonts w:ascii="Times New Roman" w:hAnsi="Times New Roman"/>
              </w:rPr>
            </w:pPr>
            <w:r w:rsidRPr="00C46B3C">
              <w:rPr>
                <w:rFonts w:ascii="Times New Roman" w:hAnsi="Times New Roman"/>
              </w:rPr>
              <w:t>14-year-old with small curve</w:t>
            </w:r>
          </w:p>
          <w:p w14:paraId="12A37396" w14:textId="77777777" w:rsidR="0086185D" w:rsidRPr="00C46B3C" w:rsidRDefault="0086185D" w:rsidP="002621CB">
            <w:pPr>
              <w:jc w:val="left"/>
              <w:rPr>
                <w:rFonts w:ascii="Times New Roman" w:hAnsi="Times New Roman"/>
              </w:rPr>
            </w:pPr>
          </w:p>
        </w:tc>
        <w:tc>
          <w:tcPr>
            <w:tcW w:w="1134" w:type="dxa"/>
            <w:vAlign w:val="center"/>
          </w:tcPr>
          <w:p w14:paraId="2395FDBD" w14:textId="77777777" w:rsidR="0086185D" w:rsidRPr="00C46B3C" w:rsidRDefault="0086185D" w:rsidP="002621CB">
            <w:pPr>
              <w:jc w:val="center"/>
              <w:rPr>
                <w:rFonts w:ascii="Times New Roman" w:hAnsi="Times New Roman"/>
              </w:rPr>
            </w:pPr>
            <w:r w:rsidRPr="00C46B3C">
              <w:rPr>
                <w:rFonts w:ascii="Times New Roman" w:hAnsi="Times New Roman"/>
              </w:rPr>
              <w:t>1 per year</w:t>
            </w:r>
          </w:p>
          <w:p w14:paraId="4C33F0A2" w14:textId="77777777" w:rsidR="0086185D" w:rsidRPr="00C46B3C" w:rsidRDefault="0086185D" w:rsidP="002621CB">
            <w:pPr>
              <w:jc w:val="center"/>
              <w:rPr>
                <w:rFonts w:ascii="Times New Roman" w:hAnsi="Times New Roman"/>
              </w:rPr>
            </w:pPr>
          </w:p>
        </w:tc>
        <w:tc>
          <w:tcPr>
            <w:tcW w:w="1418" w:type="dxa"/>
            <w:vAlign w:val="center"/>
          </w:tcPr>
          <w:p w14:paraId="7FA360CC" w14:textId="77777777" w:rsidR="0086185D" w:rsidRPr="00C46B3C" w:rsidRDefault="0086185D" w:rsidP="002621CB">
            <w:pPr>
              <w:jc w:val="center"/>
              <w:rPr>
                <w:rFonts w:ascii="Times New Roman" w:hAnsi="Times New Roman"/>
              </w:rPr>
            </w:pPr>
            <w:r w:rsidRPr="00C46B3C">
              <w:rPr>
                <w:rFonts w:ascii="Times New Roman" w:hAnsi="Times New Roman"/>
              </w:rPr>
              <w:t>-</w:t>
            </w:r>
          </w:p>
        </w:tc>
        <w:tc>
          <w:tcPr>
            <w:tcW w:w="1559" w:type="dxa"/>
            <w:vAlign w:val="center"/>
          </w:tcPr>
          <w:p w14:paraId="39C56C2B" w14:textId="77777777" w:rsidR="0086185D" w:rsidRPr="00C46B3C" w:rsidRDefault="0086185D" w:rsidP="002621CB">
            <w:pPr>
              <w:jc w:val="center"/>
              <w:rPr>
                <w:rFonts w:ascii="Times New Roman" w:hAnsi="Times New Roman"/>
              </w:rPr>
            </w:pPr>
            <w:r w:rsidRPr="00C46B3C">
              <w:rPr>
                <w:rFonts w:ascii="Times New Roman" w:hAnsi="Times New Roman"/>
              </w:rPr>
              <w:t>-</w:t>
            </w:r>
          </w:p>
        </w:tc>
        <w:tc>
          <w:tcPr>
            <w:tcW w:w="1009" w:type="dxa"/>
            <w:vAlign w:val="center"/>
          </w:tcPr>
          <w:p w14:paraId="65D38369" w14:textId="77777777" w:rsidR="0086185D" w:rsidRPr="00C46B3C" w:rsidRDefault="0086185D" w:rsidP="002621CB">
            <w:pPr>
              <w:jc w:val="center"/>
              <w:rPr>
                <w:rFonts w:ascii="Times New Roman" w:hAnsi="Times New Roman"/>
              </w:rPr>
            </w:pPr>
            <w:r w:rsidRPr="00C46B3C">
              <w:rPr>
                <w:rFonts w:ascii="Times New Roman" w:hAnsi="Times New Roman"/>
              </w:rPr>
              <w:t>0.68 mSv</w:t>
            </w:r>
          </w:p>
        </w:tc>
        <w:tc>
          <w:tcPr>
            <w:tcW w:w="1375" w:type="dxa"/>
            <w:vAlign w:val="center"/>
          </w:tcPr>
          <w:p w14:paraId="7E655285" w14:textId="77777777" w:rsidR="0086185D" w:rsidRPr="00C46B3C" w:rsidRDefault="0086185D" w:rsidP="002621CB">
            <w:pPr>
              <w:jc w:val="center"/>
              <w:rPr>
                <w:rFonts w:ascii="Times New Roman" w:hAnsi="Times New Roman"/>
              </w:rPr>
            </w:pPr>
            <w:r w:rsidRPr="00C46B3C">
              <w:rPr>
                <w:rFonts w:ascii="Times New Roman" w:hAnsi="Times New Roman"/>
              </w:rPr>
              <w:t>2.04 mSv</w:t>
            </w:r>
          </w:p>
        </w:tc>
      </w:tr>
    </w:tbl>
    <w:p w14:paraId="2D617E79" w14:textId="77777777" w:rsidR="00DE5814" w:rsidRPr="00C46B3C" w:rsidRDefault="00DE5814" w:rsidP="00DE5814">
      <w:pPr>
        <w:pStyle w:val="MDPI31text"/>
        <w:ind w:left="0" w:right="2466" w:firstLine="0"/>
        <w:rPr>
          <w:rFonts w:ascii="Times New Roman" w:hAnsi="Times New Roman"/>
          <w:u w:val="single"/>
        </w:rPr>
      </w:pPr>
    </w:p>
    <w:p w14:paraId="23A4B825" w14:textId="77777777" w:rsidR="0038036B" w:rsidRPr="00C46B3C" w:rsidRDefault="0038036B" w:rsidP="0068698C">
      <w:pPr>
        <w:pStyle w:val="MDPI21heading1"/>
        <w:ind w:left="270" w:right="2466"/>
        <w:rPr>
          <w:rFonts w:ascii="Times New Roman" w:hAnsi="Times New Roman"/>
        </w:rPr>
      </w:pPr>
      <w:r w:rsidRPr="00C46B3C">
        <w:rPr>
          <w:rFonts w:ascii="Times New Roman" w:hAnsi="Times New Roman"/>
        </w:rPr>
        <w:t>4. Discussion</w:t>
      </w:r>
    </w:p>
    <w:p w14:paraId="5557F2C7" w14:textId="3B93F390" w:rsidR="00DE5814" w:rsidRPr="00C46B3C" w:rsidRDefault="00DE5814" w:rsidP="00DE5814">
      <w:pPr>
        <w:pStyle w:val="MDPI31text"/>
        <w:ind w:left="270" w:right="2466"/>
        <w:rPr>
          <w:rFonts w:ascii="Times New Roman" w:hAnsi="Times New Roman"/>
        </w:rPr>
      </w:pPr>
      <w:r w:rsidRPr="00C46B3C">
        <w:rPr>
          <w:rFonts w:ascii="Times New Roman" w:hAnsi="Times New Roman"/>
        </w:rPr>
        <w:t>In these examples, all patients would receive a radiation dose from x-ray</w:t>
      </w:r>
      <w:r w:rsidR="002621CB">
        <w:rPr>
          <w:rFonts w:ascii="Times New Roman" w:hAnsi="Times New Roman"/>
        </w:rPr>
        <w:t>s</w:t>
      </w:r>
      <w:r w:rsidRPr="00C46B3C">
        <w:rPr>
          <w:rFonts w:ascii="Times New Roman" w:hAnsi="Times New Roman"/>
        </w:rPr>
        <w:t xml:space="preserve"> that falls under the safe parameter of 10 mSv/y</w:t>
      </w:r>
      <w:r w:rsidR="00D2290F" w:rsidRPr="00C46B3C">
        <w:rPr>
          <w:rFonts w:ascii="Times New Roman" w:hAnsi="Times New Roman"/>
        </w:rPr>
        <w:t>ea</w:t>
      </w:r>
      <w:r w:rsidRPr="00C46B3C">
        <w:rPr>
          <w:rFonts w:ascii="Times New Roman" w:hAnsi="Times New Roman"/>
        </w:rPr>
        <w:t>r set by Thorne</w:t>
      </w:r>
      <w:r w:rsidR="002621CB">
        <w:rPr>
          <w:rFonts w:ascii="Times New Roman" w:hAnsi="Times New Roman"/>
        </w:rPr>
        <w:t>,</w:t>
      </w:r>
      <w:r w:rsidRPr="00C46B3C">
        <w:rPr>
          <w:rFonts w:ascii="Times New Roman" w:hAnsi="Times New Roman"/>
        </w:rPr>
        <w:t xml:space="preserve"> as well as the federal limit. For mild to moderate curves, the total dose of x-ray during the course of treatment is also very low. </w:t>
      </w:r>
      <w:r w:rsidR="00EA7B83" w:rsidRPr="00C46B3C">
        <w:rPr>
          <w:rFonts w:ascii="Times New Roman" w:hAnsi="Times New Roman"/>
        </w:rPr>
        <w:t>I</w:t>
      </w:r>
      <w:r w:rsidRPr="00C46B3C">
        <w:rPr>
          <w:rFonts w:ascii="Times New Roman" w:hAnsi="Times New Roman"/>
        </w:rPr>
        <w:t>n the case of younger patient</w:t>
      </w:r>
      <w:r w:rsidR="002621CB">
        <w:rPr>
          <w:rFonts w:ascii="Times New Roman" w:hAnsi="Times New Roman"/>
        </w:rPr>
        <w:t>s</w:t>
      </w:r>
      <w:r w:rsidRPr="00C46B3C">
        <w:rPr>
          <w:rFonts w:ascii="Times New Roman" w:hAnsi="Times New Roman"/>
        </w:rPr>
        <w:t xml:space="preserve"> who need more imaging over a longer period of time, the total dose of radiation is higher. </w:t>
      </w:r>
      <w:r w:rsidR="00760794" w:rsidRPr="00760794">
        <w:rPr>
          <w:rFonts w:ascii="Times New Roman" w:hAnsi="Times New Roman"/>
        </w:rPr>
        <w:t>The clinician might ask how a treatment dose of 25 mSv of radiation would change the level of risk.</w:t>
      </w:r>
      <w:r w:rsidR="00760794">
        <w:rPr>
          <w:rFonts w:ascii="Times New Roman" w:hAnsi="Times New Roman"/>
        </w:rPr>
        <w:t xml:space="preserve"> </w:t>
      </w:r>
      <w:r w:rsidRPr="00C46B3C">
        <w:rPr>
          <w:rFonts w:ascii="Times New Roman" w:hAnsi="Times New Roman"/>
        </w:rPr>
        <w:t xml:space="preserve">For comparison, during that 15-year treatment period, the patient would be exposed to 46.5 mSv of radiation from the sun and radon gas. Although the additional 25 mSv is not </w:t>
      </w:r>
      <w:r w:rsidR="002621CB">
        <w:rPr>
          <w:rFonts w:ascii="Times New Roman" w:hAnsi="Times New Roman"/>
        </w:rPr>
        <w:t>ideal</w:t>
      </w:r>
      <w:r w:rsidRPr="00C46B3C">
        <w:rPr>
          <w:rFonts w:ascii="Times New Roman" w:hAnsi="Times New Roman"/>
        </w:rPr>
        <w:t xml:space="preserve">, it is just half of what we experience every day on earth. </w:t>
      </w:r>
      <w:r w:rsidR="002621CB">
        <w:rPr>
          <w:rFonts w:ascii="Times New Roman" w:hAnsi="Times New Roman"/>
        </w:rPr>
        <w:t>If</w:t>
      </w:r>
      <w:r w:rsidRPr="00C46B3C">
        <w:rPr>
          <w:rFonts w:ascii="Times New Roman" w:hAnsi="Times New Roman"/>
        </w:rPr>
        <w:t xml:space="preserve"> an EOS scanner was used</w:t>
      </w:r>
      <w:r w:rsidR="002621CB">
        <w:rPr>
          <w:rFonts w:ascii="Times New Roman" w:hAnsi="Times New Roman"/>
        </w:rPr>
        <w:t xml:space="preserve"> </w:t>
      </w:r>
      <w:r w:rsidRPr="00C46B3C">
        <w:rPr>
          <w:rFonts w:ascii="Times New Roman" w:hAnsi="Times New Roman"/>
        </w:rPr>
        <w:t>of standard x-ray, that 25 mSv dose would be reduced to 4.8 mSv. Cases such as this one would pose the strongest argument for the use of EOS, despite its higher cost.</w:t>
      </w:r>
      <w:r w:rsidR="00184B67" w:rsidRPr="00C46B3C">
        <w:rPr>
          <w:rFonts w:ascii="Times New Roman" w:hAnsi="Times New Roman"/>
        </w:rPr>
        <w:t xml:space="preserve"> </w:t>
      </w:r>
    </w:p>
    <w:p w14:paraId="085EADF5" w14:textId="77777777" w:rsidR="0038036B" w:rsidRPr="00C46B3C" w:rsidRDefault="0038036B" w:rsidP="0068698C">
      <w:pPr>
        <w:pStyle w:val="MDPI21heading1"/>
        <w:ind w:left="270" w:right="2466"/>
        <w:rPr>
          <w:rFonts w:ascii="Times New Roman" w:hAnsi="Times New Roman"/>
        </w:rPr>
      </w:pPr>
      <w:r w:rsidRPr="00C46B3C">
        <w:rPr>
          <w:rFonts w:ascii="Times New Roman" w:hAnsi="Times New Roman"/>
        </w:rPr>
        <w:t>5. Conclusions</w:t>
      </w:r>
    </w:p>
    <w:p w14:paraId="2215FFC4" w14:textId="3755EEC0" w:rsidR="00DE5814" w:rsidRPr="00C46B3C" w:rsidRDefault="002621CB" w:rsidP="00DE5814">
      <w:pPr>
        <w:pStyle w:val="MDPI31text"/>
        <w:ind w:left="270" w:right="2466"/>
        <w:rPr>
          <w:rFonts w:ascii="Times New Roman" w:hAnsi="Times New Roman"/>
        </w:rPr>
      </w:pPr>
      <w:r>
        <w:rPr>
          <w:rFonts w:ascii="Times New Roman" w:hAnsi="Times New Roman"/>
        </w:rPr>
        <w:t>AIS</w:t>
      </w:r>
      <w:r w:rsidR="00DE5814" w:rsidRPr="00C46B3C">
        <w:rPr>
          <w:rFonts w:ascii="Times New Roman" w:hAnsi="Times New Roman"/>
        </w:rPr>
        <w:t xml:space="preserve"> will always raise concerns among patients and their parents, and when repeated x-rays are used to monitor curve progression</w:t>
      </w:r>
      <w:r>
        <w:rPr>
          <w:rFonts w:ascii="Times New Roman" w:hAnsi="Times New Roman"/>
        </w:rPr>
        <w:t>,</w:t>
      </w:r>
      <w:r w:rsidR="00DE5814" w:rsidRPr="00C46B3C">
        <w:rPr>
          <w:rFonts w:ascii="Times New Roman" w:hAnsi="Times New Roman"/>
        </w:rPr>
        <w:t xml:space="preserve"> there will always be a question of whether the radiation dose will prove </w:t>
      </w:r>
      <w:r>
        <w:rPr>
          <w:rFonts w:ascii="Times New Roman" w:hAnsi="Times New Roman"/>
        </w:rPr>
        <w:t xml:space="preserve">to be </w:t>
      </w:r>
      <w:r w:rsidR="00DE5814" w:rsidRPr="00C46B3C">
        <w:rPr>
          <w:rFonts w:ascii="Times New Roman" w:hAnsi="Times New Roman"/>
        </w:rPr>
        <w:t xml:space="preserve">harmful in the future. While radiation should always be used sparingly in growing children, this analysis of the evidence shows that the risk of </w:t>
      </w:r>
      <w:r w:rsidRPr="00C46B3C">
        <w:rPr>
          <w:rFonts w:ascii="Times New Roman" w:hAnsi="Times New Roman"/>
        </w:rPr>
        <w:t>medically</w:t>
      </w:r>
      <w:r>
        <w:rPr>
          <w:rFonts w:ascii="Times New Roman" w:hAnsi="Times New Roman"/>
        </w:rPr>
        <w:t xml:space="preserve"> necessary</w:t>
      </w:r>
      <w:r w:rsidR="00DE5814" w:rsidRPr="00C46B3C">
        <w:rPr>
          <w:rFonts w:ascii="Times New Roman" w:hAnsi="Times New Roman"/>
        </w:rPr>
        <w:t xml:space="preserve"> x-rays in 202</w:t>
      </w:r>
      <w:r w:rsidR="00EA7B83" w:rsidRPr="00C46B3C">
        <w:rPr>
          <w:rFonts w:ascii="Times New Roman" w:hAnsi="Times New Roman"/>
        </w:rPr>
        <w:t>6</w:t>
      </w:r>
      <w:r w:rsidR="00DE5814" w:rsidRPr="00C46B3C">
        <w:rPr>
          <w:rFonts w:ascii="Times New Roman" w:hAnsi="Times New Roman"/>
        </w:rPr>
        <w:t xml:space="preserve"> is likely very low. Studies</w:t>
      </w:r>
      <w:r>
        <w:rPr>
          <w:rFonts w:ascii="Times New Roman" w:hAnsi="Times New Roman"/>
        </w:rPr>
        <w:t>,</w:t>
      </w:r>
      <w:r w:rsidR="00DE5814" w:rsidRPr="00C46B3C">
        <w:rPr>
          <w:rFonts w:ascii="Times New Roman" w:hAnsi="Times New Roman"/>
        </w:rPr>
        <w:t xml:space="preserve"> like those of Ronckers</w:t>
      </w:r>
      <w:r>
        <w:rPr>
          <w:rFonts w:ascii="Times New Roman" w:hAnsi="Times New Roman"/>
        </w:rPr>
        <w:t>,</w:t>
      </w:r>
      <w:r w:rsidR="00DE5814" w:rsidRPr="00C46B3C">
        <w:rPr>
          <w:rFonts w:ascii="Times New Roman" w:hAnsi="Times New Roman"/>
        </w:rPr>
        <w:t xml:space="preserve"> were critical in pointing out the long-term effects of higher radiation exposure and helped drive clinical medicine to improve technology and reduce exposure.</w:t>
      </w:r>
      <w:r>
        <w:rPr>
          <w:rFonts w:ascii="Times New Roman" w:hAnsi="Times New Roman"/>
        </w:rPr>
        <w:t xml:space="preserve"> Notably, studies</w:t>
      </w:r>
      <w:r w:rsidR="00DE5814" w:rsidRPr="00C46B3C">
        <w:rPr>
          <w:rFonts w:ascii="Times New Roman" w:hAnsi="Times New Roman"/>
        </w:rPr>
        <w:t xml:space="preserve"> that measure </w:t>
      </w:r>
      <w:r>
        <w:rPr>
          <w:rFonts w:ascii="Times New Roman" w:hAnsi="Times New Roman"/>
        </w:rPr>
        <w:t>post-</w:t>
      </w:r>
      <w:r w:rsidR="00DE5814" w:rsidRPr="00C46B3C">
        <w:rPr>
          <w:rFonts w:ascii="Times New Roman" w:hAnsi="Times New Roman"/>
        </w:rPr>
        <w:t xml:space="preserve">radiation effects from half </w:t>
      </w:r>
      <w:r>
        <w:rPr>
          <w:rFonts w:ascii="Times New Roman" w:hAnsi="Times New Roman"/>
        </w:rPr>
        <w:t xml:space="preserve">a </w:t>
      </w:r>
      <w:r w:rsidR="00DE5814" w:rsidRPr="00C46B3C">
        <w:rPr>
          <w:rFonts w:ascii="Times New Roman" w:hAnsi="Times New Roman"/>
        </w:rPr>
        <w:t xml:space="preserve">century ago do not represent the current level of risk. </w:t>
      </w:r>
      <w:r w:rsidR="004C6FC4">
        <w:rPr>
          <w:rFonts w:ascii="Times New Roman" w:hAnsi="Times New Roman"/>
        </w:rPr>
        <w:t>Applying modern equipment and implementing today’s limits for re-calculation, it is very likely that those</w:t>
      </w:r>
      <w:r w:rsidR="00DE5814" w:rsidRPr="00C46B3C">
        <w:rPr>
          <w:rFonts w:ascii="Times New Roman" w:hAnsi="Times New Roman"/>
        </w:rPr>
        <w:t xml:space="preserve"> patients would have received less than a tenth of the</w:t>
      </w:r>
      <w:r w:rsidR="004C6FC4">
        <w:rPr>
          <w:rFonts w:ascii="Times New Roman" w:hAnsi="Times New Roman"/>
        </w:rPr>
        <w:t xml:space="preserve"> recommended dose</w:t>
      </w:r>
      <w:r w:rsidR="00DE5814" w:rsidRPr="00C46B3C">
        <w:rPr>
          <w:rFonts w:ascii="Times New Roman" w:hAnsi="Times New Roman"/>
        </w:rPr>
        <w:t>.</w:t>
      </w:r>
    </w:p>
    <w:p w14:paraId="4101D12E" w14:textId="77777777" w:rsidR="00DE5814" w:rsidRPr="00C46B3C" w:rsidRDefault="00DE5814" w:rsidP="00DE5814">
      <w:pPr>
        <w:pStyle w:val="MDPI31text"/>
        <w:ind w:left="270" w:right="2466"/>
        <w:rPr>
          <w:rFonts w:ascii="Times New Roman" w:hAnsi="Times New Roman"/>
        </w:rPr>
      </w:pPr>
    </w:p>
    <w:p w14:paraId="691D20B3" w14:textId="39C2FCD7" w:rsidR="00316537" w:rsidRPr="007E702D" w:rsidRDefault="00DE5814" w:rsidP="007E702D">
      <w:pPr>
        <w:pStyle w:val="MDPI31text"/>
        <w:ind w:left="270" w:right="2466"/>
        <w:rPr>
          <w:rFonts w:ascii="Times New Roman" w:hAnsi="Times New Roman"/>
        </w:rPr>
      </w:pPr>
      <w:r w:rsidRPr="00C46B3C">
        <w:rPr>
          <w:rFonts w:ascii="Times New Roman" w:hAnsi="Times New Roman"/>
        </w:rPr>
        <w:t xml:space="preserve"> Using the analysis from this paper, a clinician could calculate the expected radiation exposure for a patient in their care</w:t>
      </w:r>
      <w:r w:rsidR="004C6FC4">
        <w:rPr>
          <w:rFonts w:ascii="Times New Roman" w:hAnsi="Times New Roman"/>
        </w:rPr>
        <w:t xml:space="preserve">, which </w:t>
      </w:r>
      <w:r w:rsidRPr="00C46B3C">
        <w:rPr>
          <w:rFonts w:ascii="Times New Roman" w:hAnsi="Times New Roman"/>
        </w:rPr>
        <w:t xml:space="preserve">could help parents understand the improvements that have been made in technology and safety </w:t>
      </w:r>
      <w:r w:rsidR="004C6FC4">
        <w:rPr>
          <w:rFonts w:ascii="Times New Roman" w:hAnsi="Times New Roman"/>
        </w:rPr>
        <w:t>in</w:t>
      </w:r>
      <w:r w:rsidRPr="00C46B3C">
        <w:rPr>
          <w:rFonts w:ascii="Times New Roman" w:hAnsi="Times New Roman"/>
        </w:rPr>
        <w:t xml:space="preserve"> radiologic imaging. A comparison could be made between standard and EOS imaging to assist in decision-making about which technique should be used.  Increased transparency about the actual risks of medical treatment will improve patient understanding, enhance the quality of medical discussions, and strengthen the consent process.</w:t>
      </w:r>
    </w:p>
    <w:p w14:paraId="7E5BA3A9" w14:textId="7DD2DF91" w:rsidR="008F1406" w:rsidRPr="007C67D7" w:rsidRDefault="008F1406" w:rsidP="007E702D">
      <w:pPr>
        <w:pStyle w:val="MDPI62BackMatter"/>
        <w:tabs>
          <w:tab w:val="left" w:pos="8222"/>
        </w:tabs>
        <w:ind w:left="270" w:right="2434"/>
        <w:rPr>
          <w:rFonts w:ascii="Times New Roman" w:hAnsi="Times New Roman"/>
          <w:b/>
        </w:rPr>
      </w:pPr>
      <w:bookmarkStart w:id="0" w:name="_Hlk60054323"/>
      <w:r w:rsidRPr="007C67D7">
        <w:rPr>
          <w:rFonts w:ascii="Times New Roman" w:hAnsi="Times New Roman"/>
          <w:b/>
          <w:bCs/>
        </w:rPr>
        <w:lastRenderedPageBreak/>
        <w:t xml:space="preserve">Author Contributions: </w:t>
      </w:r>
      <w:r w:rsidRPr="007C67D7">
        <w:rPr>
          <w:rFonts w:ascii="Times New Roman" w:hAnsi="Times New Roman"/>
          <w:bCs/>
        </w:rPr>
        <w:t xml:space="preserve">For this project, conceptualization was provided by PK. Methodology, background research, and primary writing provided by KO. Review and editing equally provided by KO and PK. Project administration and supervision provided by PK. </w:t>
      </w:r>
      <w:r w:rsidR="007C67D7">
        <w:rPr>
          <w:rFonts w:ascii="Times New Roman" w:hAnsi="Times New Roman"/>
          <w:bCs/>
        </w:rPr>
        <w:t>All</w:t>
      </w:r>
      <w:r w:rsidRPr="007C67D7">
        <w:rPr>
          <w:rFonts w:ascii="Times New Roman" w:hAnsi="Times New Roman"/>
          <w:bCs/>
        </w:rPr>
        <w:t xml:space="preserve"> authors have read and agreed to the published version of the manuscript.</w:t>
      </w:r>
    </w:p>
    <w:p w14:paraId="22B1A112" w14:textId="339CD621" w:rsidR="008F1406" w:rsidRPr="007C67D7" w:rsidRDefault="008F1406" w:rsidP="007E702D">
      <w:pPr>
        <w:pStyle w:val="MDPI62BackMatter"/>
        <w:tabs>
          <w:tab w:val="left" w:pos="8222"/>
        </w:tabs>
        <w:ind w:left="270" w:right="2434"/>
        <w:rPr>
          <w:rFonts w:ascii="Times New Roman" w:hAnsi="Times New Roman"/>
          <w:b/>
        </w:rPr>
      </w:pPr>
      <w:r w:rsidRPr="007C67D7">
        <w:rPr>
          <w:rFonts w:ascii="Times New Roman" w:hAnsi="Times New Roman"/>
          <w:b/>
          <w:bCs/>
        </w:rPr>
        <w:t>Funding:</w:t>
      </w:r>
      <w:r w:rsidRPr="007C67D7">
        <w:rPr>
          <w:rFonts w:ascii="Times New Roman" w:hAnsi="Times New Roman"/>
          <w:b/>
        </w:rPr>
        <w:t xml:space="preserve"> </w:t>
      </w:r>
      <w:r w:rsidRPr="007C67D7">
        <w:rPr>
          <w:rFonts w:ascii="Times New Roman" w:hAnsi="Times New Roman"/>
          <w:bCs/>
        </w:rPr>
        <w:t xml:space="preserve">This </w:t>
      </w:r>
      <w:r w:rsidR="007C67D7">
        <w:rPr>
          <w:rFonts w:ascii="Times New Roman" w:hAnsi="Times New Roman"/>
          <w:bCs/>
        </w:rPr>
        <w:t>study</w:t>
      </w:r>
      <w:r w:rsidRPr="007C67D7">
        <w:rPr>
          <w:rFonts w:ascii="Times New Roman" w:hAnsi="Times New Roman"/>
          <w:bCs/>
        </w:rPr>
        <w:t xml:space="preserve"> received no external funding.</w:t>
      </w:r>
    </w:p>
    <w:p w14:paraId="3E9B82E3" w14:textId="2A6955EE" w:rsidR="008F1406" w:rsidRPr="007C67D7" w:rsidRDefault="008F1406" w:rsidP="007E702D">
      <w:pPr>
        <w:pStyle w:val="MDPI62BackMatter"/>
        <w:tabs>
          <w:tab w:val="left" w:pos="8222"/>
        </w:tabs>
        <w:ind w:left="270" w:right="2434"/>
        <w:rPr>
          <w:rFonts w:ascii="Times New Roman" w:hAnsi="Times New Roman"/>
          <w:b/>
        </w:rPr>
      </w:pPr>
      <w:r w:rsidRPr="007C67D7">
        <w:rPr>
          <w:rFonts w:ascii="Times New Roman" w:hAnsi="Times New Roman"/>
          <w:b/>
          <w:bCs/>
        </w:rPr>
        <w:t xml:space="preserve">Institutional Review Board Statement: </w:t>
      </w:r>
      <w:r w:rsidRPr="007C67D7">
        <w:rPr>
          <w:rFonts w:ascii="Times New Roman" w:hAnsi="Times New Roman"/>
          <w:bCs/>
        </w:rPr>
        <w:t>Not applicable.</w:t>
      </w:r>
    </w:p>
    <w:p w14:paraId="33252273" w14:textId="7959A65B" w:rsidR="00316537" w:rsidRPr="007C67D7" w:rsidRDefault="008F1406" w:rsidP="007E702D">
      <w:pPr>
        <w:pStyle w:val="MDPI62BackMatter"/>
        <w:tabs>
          <w:tab w:val="left" w:pos="8222"/>
        </w:tabs>
        <w:ind w:left="270" w:right="2434"/>
        <w:rPr>
          <w:rFonts w:ascii="Times New Roman" w:hAnsi="Times New Roman"/>
          <w:bCs/>
        </w:rPr>
      </w:pPr>
      <w:r w:rsidRPr="007C67D7">
        <w:rPr>
          <w:rFonts w:ascii="Times New Roman" w:hAnsi="Times New Roman"/>
          <w:b/>
          <w:bCs/>
        </w:rPr>
        <w:t>Conflicts of Interest:</w:t>
      </w:r>
      <w:r w:rsidRPr="007C67D7">
        <w:rPr>
          <w:rFonts w:ascii="Times New Roman" w:hAnsi="Times New Roman"/>
          <w:b/>
        </w:rPr>
        <w:t xml:space="preserve"> </w:t>
      </w:r>
      <w:r w:rsidRPr="007C67D7">
        <w:rPr>
          <w:rFonts w:ascii="Times New Roman" w:hAnsi="Times New Roman"/>
          <w:bCs/>
        </w:rPr>
        <w:t>The authors declare no conflicts of interest.</w:t>
      </w:r>
      <w:bookmarkEnd w:id="0"/>
    </w:p>
    <w:p w14:paraId="5CEE3D73" w14:textId="77777777" w:rsidR="000318A6" w:rsidRPr="00C46B3C" w:rsidRDefault="000318A6" w:rsidP="00316537">
      <w:pPr>
        <w:pStyle w:val="MDPI31text"/>
        <w:ind w:left="0" w:right="2466" w:firstLine="0"/>
        <w:rPr>
          <w:rFonts w:ascii="Times New Roman" w:hAnsi="Times New Roman"/>
          <w:u w:val="single"/>
        </w:rPr>
      </w:pPr>
    </w:p>
    <w:p w14:paraId="6DD5CB86" w14:textId="43A449F7" w:rsidR="00F715DE" w:rsidRPr="00C46B3C" w:rsidRDefault="00F715DE" w:rsidP="00F715DE">
      <w:pPr>
        <w:pStyle w:val="MDPI21heading1"/>
        <w:ind w:left="0"/>
        <w:rPr>
          <w:rFonts w:ascii="Times New Roman" w:hAnsi="Times New Roman"/>
        </w:rPr>
      </w:pPr>
      <w:r w:rsidRPr="00C46B3C">
        <w:rPr>
          <w:rFonts w:ascii="Times New Roman" w:hAnsi="Times New Roman"/>
        </w:rPr>
        <w:t>References</w:t>
      </w:r>
    </w:p>
    <w:p w14:paraId="73FF109C" w14:textId="77777777" w:rsidR="00A86269" w:rsidRPr="00C46B3C" w:rsidRDefault="00A86269" w:rsidP="00A86269">
      <w:pPr>
        <w:pStyle w:val="MDPI71References"/>
        <w:numPr>
          <w:ilvl w:val="0"/>
          <w:numId w:val="5"/>
        </w:numPr>
        <w:ind w:left="425" w:hanging="425"/>
        <w:rPr>
          <w:rFonts w:ascii="Times New Roman" w:hAnsi="Times New Roman"/>
        </w:rPr>
      </w:pPr>
      <w:r w:rsidRPr="00C46B3C">
        <w:rPr>
          <w:rFonts w:ascii="Times New Roman" w:hAnsi="Times New Roman"/>
        </w:rPr>
        <w:t>Scherl, SA, Hasley, BP (2025a). Adolescent idiopathic scoliosis: Clinical features, evaluation, and diagnosis. UpToDate. Connor RF (Ed), Wolters Kluwer. Accessed on June 9, 2025 from https://www.uptodate.com/contents/adolescent-idiopathic-scoliosis-clinical-features-evaluation-and-diagnosis?search=scoliosis</w:t>
      </w:r>
    </w:p>
    <w:p w14:paraId="2E06C694" w14:textId="5802D9F8" w:rsidR="00A86269" w:rsidRPr="00C46B3C" w:rsidRDefault="00A86269" w:rsidP="00A86269">
      <w:pPr>
        <w:pStyle w:val="MDPI71References"/>
        <w:numPr>
          <w:ilvl w:val="0"/>
          <w:numId w:val="5"/>
        </w:numPr>
        <w:ind w:left="425" w:hanging="425"/>
        <w:rPr>
          <w:rFonts w:ascii="Times New Roman" w:hAnsi="Times New Roman"/>
        </w:rPr>
      </w:pPr>
      <w:r w:rsidRPr="00C46B3C">
        <w:rPr>
          <w:rFonts w:ascii="Times New Roman" w:hAnsi="Times New Roman"/>
        </w:rPr>
        <w:t>Weinstein SL. Adolescent idiopathic scoliosis: prevalence and natural history. Instr Course Lect. 1989;38:115-128.</w:t>
      </w:r>
    </w:p>
    <w:p w14:paraId="22044CDB" w14:textId="1F0526E1" w:rsidR="00A86269" w:rsidRPr="00C46B3C" w:rsidRDefault="00A86269" w:rsidP="00A86269">
      <w:pPr>
        <w:pStyle w:val="MDPI71References"/>
        <w:numPr>
          <w:ilvl w:val="0"/>
          <w:numId w:val="5"/>
        </w:numPr>
        <w:ind w:left="425" w:hanging="425"/>
        <w:rPr>
          <w:rFonts w:ascii="Times New Roman" w:hAnsi="Times New Roman"/>
        </w:rPr>
      </w:pPr>
      <w:r w:rsidRPr="00C46B3C">
        <w:rPr>
          <w:rFonts w:ascii="Times New Roman" w:hAnsi="Times New Roman"/>
        </w:rPr>
        <w:t>Kenner P, McGrath S, Woodland P. What Factors Influence Delayed Referral to Spinal Surgeon in Adolescent Idiopathic Scoliosis?. Spine (Phila Pa 1976). 2019;44(22):1578-1584. doi:10.1097/BRS.0000000000003146</w:t>
      </w:r>
    </w:p>
    <w:p w14:paraId="56158DCD" w14:textId="53C3010D" w:rsidR="00A86269" w:rsidRPr="00C46B3C" w:rsidRDefault="00A86269" w:rsidP="00A86269">
      <w:pPr>
        <w:pStyle w:val="MDPI71References"/>
        <w:numPr>
          <w:ilvl w:val="0"/>
          <w:numId w:val="5"/>
        </w:numPr>
        <w:ind w:left="425" w:hanging="425"/>
        <w:rPr>
          <w:rFonts w:ascii="Times New Roman" w:hAnsi="Times New Roman"/>
        </w:rPr>
      </w:pPr>
      <w:r w:rsidRPr="00C46B3C">
        <w:rPr>
          <w:rFonts w:ascii="Times New Roman" w:hAnsi="Times New Roman"/>
        </w:rPr>
        <w:t>Bunnell WP. Selective screening for scoliosis. Clin Orthop Relat Res. 2005;(434):40-45. doi:10.1097/01.blo.0000163242.92733.66</w:t>
      </w:r>
    </w:p>
    <w:p w14:paraId="37B2C484" w14:textId="1FEC7B23" w:rsidR="00A86269" w:rsidRPr="00C46B3C" w:rsidRDefault="00A86269" w:rsidP="00A86269">
      <w:pPr>
        <w:pStyle w:val="MDPI71References"/>
        <w:numPr>
          <w:ilvl w:val="0"/>
          <w:numId w:val="5"/>
        </w:numPr>
        <w:ind w:left="425" w:hanging="425"/>
        <w:rPr>
          <w:rFonts w:ascii="Times New Roman" w:hAnsi="Times New Roman"/>
        </w:rPr>
      </w:pPr>
      <w:r w:rsidRPr="00C46B3C">
        <w:rPr>
          <w:rFonts w:ascii="Times New Roman" w:hAnsi="Times New Roman"/>
        </w:rPr>
        <w:t>Lonstein JE, Winter RB. The Milwaukee brace for the treatment of adolescent idiopathic scoliosis. A review of one thousand and twenty patients. J Bone Joint Surg Am. 1994;76(8):1207-1221. doi:10.2106/00004623-199408000-00011</w:t>
      </w:r>
    </w:p>
    <w:p w14:paraId="3C470919" w14:textId="79A30181" w:rsidR="00A86269" w:rsidRPr="00C46B3C" w:rsidRDefault="00A86269" w:rsidP="00A86269">
      <w:pPr>
        <w:pStyle w:val="MDPI71References"/>
        <w:numPr>
          <w:ilvl w:val="0"/>
          <w:numId w:val="5"/>
        </w:numPr>
        <w:ind w:left="425" w:hanging="425"/>
        <w:rPr>
          <w:rFonts w:ascii="Times New Roman" w:hAnsi="Times New Roman"/>
        </w:rPr>
      </w:pPr>
      <w:r w:rsidRPr="00C46B3C">
        <w:rPr>
          <w:rFonts w:ascii="Times New Roman" w:hAnsi="Times New Roman"/>
        </w:rPr>
        <w:t>Lonstein JE, Carlson JM. The prediction of curve progression in untreated idiopathic scoliosis during growth. J Bone Joint Surg Am. 1984;66(7):1061-1071.</w:t>
      </w:r>
    </w:p>
    <w:p w14:paraId="130AE6AA" w14:textId="48C10069" w:rsidR="00A86269" w:rsidRPr="00C46B3C" w:rsidRDefault="00A86269" w:rsidP="00A86269">
      <w:pPr>
        <w:pStyle w:val="MDPI71References"/>
        <w:numPr>
          <w:ilvl w:val="0"/>
          <w:numId w:val="5"/>
        </w:numPr>
        <w:ind w:left="425" w:hanging="425"/>
        <w:rPr>
          <w:rFonts w:ascii="Times New Roman" w:hAnsi="Times New Roman"/>
        </w:rPr>
      </w:pPr>
      <w:r w:rsidRPr="00C46B3C">
        <w:rPr>
          <w:rFonts w:ascii="Times New Roman" w:hAnsi="Times New Roman"/>
        </w:rPr>
        <w:t>Ronckers CM, Land CE, Miller JS, Stovall M, Lonstein JE, Doody MM. Cancer mortality among women frequently exposed to radiographic examinations for spinal disorders. Radiat Res. 2010;174(1):83-90. doi:10.1667/RR2022.1</w:t>
      </w:r>
    </w:p>
    <w:p w14:paraId="3B552619" w14:textId="3E7C3FDC" w:rsidR="00A86269" w:rsidRPr="00C46B3C" w:rsidRDefault="00A86269" w:rsidP="00A86269">
      <w:pPr>
        <w:pStyle w:val="MDPI71References"/>
        <w:numPr>
          <w:ilvl w:val="0"/>
          <w:numId w:val="5"/>
        </w:numPr>
        <w:ind w:left="425" w:hanging="425"/>
        <w:rPr>
          <w:rFonts w:ascii="Times New Roman" w:hAnsi="Times New Roman"/>
        </w:rPr>
      </w:pPr>
      <w:r w:rsidRPr="00C46B3C">
        <w:rPr>
          <w:rFonts w:ascii="Times New Roman" w:hAnsi="Times New Roman"/>
        </w:rPr>
        <w:t xml:space="preserve">Higingbotham, H. (2022, September 19). From the annals of NIH history. National Institutes of Health. </w:t>
      </w:r>
      <w:hyperlink r:id="rId9" w:history="1">
        <w:r w:rsidRPr="00C46B3C">
          <w:rPr>
            <w:rStyle w:val="Hyperlink"/>
            <w:rFonts w:ascii="Times New Roman" w:hAnsi="Times New Roman"/>
          </w:rPr>
          <w:t>https://irp.nih.gov/catalyst/30/5/from-the-annals-of-nih-history</w:t>
        </w:r>
      </w:hyperlink>
    </w:p>
    <w:p w14:paraId="7B1FABE8" w14:textId="795CF2E3" w:rsidR="00A86269" w:rsidRPr="00C46B3C" w:rsidRDefault="00A86269" w:rsidP="00A86269">
      <w:pPr>
        <w:pStyle w:val="MDPI71References"/>
        <w:numPr>
          <w:ilvl w:val="0"/>
          <w:numId w:val="5"/>
        </w:numPr>
        <w:ind w:left="425" w:hanging="425"/>
        <w:rPr>
          <w:rFonts w:ascii="Times New Roman" w:hAnsi="Times New Roman"/>
        </w:rPr>
      </w:pPr>
      <w:r w:rsidRPr="00C46B3C">
        <w:rPr>
          <w:rFonts w:ascii="Times New Roman" w:hAnsi="Times New Roman"/>
        </w:rPr>
        <w:t>Thorne MC. Principles of the International Commission on Radiological Protection system of dose limitation. Br J Radiol. 1987;60(709):32-38. doi:10.1259/0007-1285-60-709-32</w:t>
      </w:r>
    </w:p>
    <w:p w14:paraId="113E1DA7" w14:textId="16828475" w:rsidR="00423110" w:rsidRPr="00C46B3C" w:rsidRDefault="00423110" w:rsidP="00A86269">
      <w:pPr>
        <w:pStyle w:val="MDPI71References"/>
        <w:numPr>
          <w:ilvl w:val="0"/>
          <w:numId w:val="5"/>
        </w:numPr>
        <w:ind w:left="425" w:hanging="425"/>
        <w:rPr>
          <w:rFonts w:ascii="Times New Roman" w:hAnsi="Times New Roman"/>
          <w:color w:val="000000" w:themeColor="text1"/>
        </w:rPr>
      </w:pPr>
      <w:r w:rsidRPr="00C46B3C">
        <w:rPr>
          <w:rFonts w:ascii="Times New Roman" w:hAnsi="Times New Roman"/>
          <w:color w:val="000000" w:themeColor="text1"/>
        </w:rPr>
        <w:t>Smith-Bindman R, Alber SA, Kwan ML, et al. Medical Imaging and Pediatric and Adolescent Hematologic Cancer Risk. </w:t>
      </w:r>
      <w:r w:rsidRPr="00C46B3C">
        <w:rPr>
          <w:rFonts w:ascii="Times New Roman" w:hAnsi="Times New Roman"/>
          <w:i/>
          <w:iCs/>
          <w:color w:val="000000" w:themeColor="text1"/>
        </w:rPr>
        <w:t>N Engl J Med</w:t>
      </w:r>
      <w:r w:rsidRPr="00C46B3C">
        <w:rPr>
          <w:rFonts w:ascii="Times New Roman" w:hAnsi="Times New Roman"/>
          <w:color w:val="000000" w:themeColor="text1"/>
        </w:rPr>
        <w:t>. 2025;393(13):1269-1278. doi:10.1056/NEJMoa2502098</w:t>
      </w:r>
    </w:p>
    <w:p w14:paraId="6B5812BC" w14:textId="28FF9E8C" w:rsidR="00A86269" w:rsidRPr="00C46B3C" w:rsidRDefault="00A86269" w:rsidP="00A86269">
      <w:pPr>
        <w:pStyle w:val="MDPI71References"/>
        <w:numPr>
          <w:ilvl w:val="0"/>
          <w:numId w:val="5"/>
        </w:numPr>
        <w:ind w:left="425" w:hanging="425"/>
        <w:rPr>
          <w:rFonts w:ascii="Times New Roman" w:hAnsi="Times New Roman"/>
        </w:rPr>
      </w:pPr>
      <w:r w:rsidRPr="00C46B3C">
        <w:rPr>
          <w:rFonts w:ascii="Times New Roman" w:hAnsi="Times New Roman"/>
        </w:rPr>
        <w:t>Brenner DJ, Doll R, Goodhead DT, et al. Cancer risks attributable to low doses of ionizing radiation: assessing what we really know. Proc Natl Acad Sci U S A. 2003;100(24):13761-13766. doi:10.1073/pnas.2235592100</w:t>
      </w:r>
    </w:p>
    <w:p w14:paraId="46EF3E53" w14:textId="0158674D" w:rsidR="00A86269" w:rsidRPr="00C46B3C" w:rsidRDefault="00A86269" w:rsidP="00A86269">
      <w:pPr>
        <w:pStyle w:val="MDPI71References"/>
        <w:numPr>
          <w:ilvl w:val="0"/>
          <w:numId w:val="5"/>
        </w:numPr>
        <w:ind w:left="425" w:hanging="425"/>
        <w:rPr>
          <w:rFonts w:ascii="Times New Roman" w:hAnsi="Times New Roman"/>
        </w:rPr>
      </w:pPr>
      <w:r w:rsidRPr="00C46B3C">
        <w:rPr>
          <w:rFonts w:ascii="Times New Roman" w:hAnsi="Times New Roman"/>
        </w:rPr>
        <w:t>Kutanzi KR, Lumen A, Koturbash I, Miousse IR. Pediatric Exposures to Ionizing Radiation: Carcinogenic Considerations. Int J Environ Res Public Health. 2016;13(11):1057. Published 2016 Oct 28. doi:10.3390/ijerph13111057</w:t>
      </w:r>
    </w:p>
    <w:p w14:paraId="475AA604" w14:textId="1F024819" w:rsidR="00A86269" w:rsidRPr="00C46B3C" w:rsidRDefault="00A86269" w:rsidP="00A86269">
      <w:pPr>
        <w:pStyle w:val="MDPI71References"/>
        <w:numPr>
          <w:ilvl w:val="0"/>
          <w:numId w:val="5"/>
        </w:numPr>
        <w:ind w:left="425" w:hanging="425"/>
        <w:rPr>
          <w:rFonts w:ascii="Times New Roman" w:hAnsi="Times New Roman"/>
          <w:color w:val="FF0000"/>
        </w:rPr>
      </w:pPr>
      <w:r w:rsidRPr="00C46B3C">
        <w:rPr>
          <w:rFonts w:ascii="Times New Roman" w:hAnsi="Times New Roman"/>
          <w:color w:val="000000" w:themeColor="text1"/>
        </w:rPr>
        <w:t>Ron E, Modan B, Preston D, Alfandary E, Stovall M, Boice JD Jr. Thyroid neoplasia following low-dose radiation in childhood. Radiat Res. 1989;120(3):516-531</w:t>
      </w:r>
      <w:r w:rsidRPr="00C46B3C">
        <w:rPr>
          <w:rFonts w:ascii="Times New Roman" w:hAnsi="Times New Roman"/>
          <w:color w:val="FF0000"/>
        </w:rPr>
        <w:t>.</w:t>
      </w:r>
    </w:p>
    <w:p w14:paraId="3BBE60CC" w14:textId="409C9870" w:rsidR="00A86269" w:rsidRPr="00C46B3C" w:rsidRDefault="00A86269" w:rsidP="00A86269">
      <w:pPr>
        <w:pStyle w:val="MDPI71References"/>
        <w:numPr>
          <w:ilvl w:val="0"/>
          <w:numId w:val="5"/>
        </w:numPr>
        <w:ind w:left="425" w:hanging="425"/>
        <w:rPr>
          <w:rFonts w:ascii="Times New Roman" w:hAnsi="Times New Roman"/>
        </w:rPr>
      </w:pPr>
      <w:r w:rsidRPr="00C46B3C">
        <w:rPr>
          <w:rFonts w:ascii="Times New Roman" w:hAnsi="Times New Roman"/>
        </w:rPr>
        <w:t>Nash CL Jr, Gregg EC, Brown RH, Pillai K. Risks of exposure to X-rays in patients undergoing long-term treatment for scoliosis. J Bone Joint Surg Am. 1979;61(3):371-374.</w:t>
      </w:r>
    </w:p>
    <w:p w14:paraId="7FC28B80" w14:textId="20955B18" w:rsidR="00A86269" w:rsidRPr="00C46B3C" w:rsidRDefault="00A86269" w:rsidP="00A86269">
      <w:pPr>
        <w:pStyle w:val="MDPI71References"/>
        <w:numPr>
          <w:ilvl w:val="0"/>
          <w:numId w:val="5"/>
        </w:numPr>
        <w:ind w:left="425" w:hanging="425"/>
        <w:rPr>
          <w:rFonts w:ascii="Times New Roman" w:hAnsi="Times New Roman"/>
        </w:rPr>
      </w:pPr>
      <w:r w:rsidRPr="00C46B3C">
        <w:rPr>
          <w:rFonts w:ascii="Times New Roman" w:hAnsi="Times New Roman"/>
        </w:rPr>
        <w:t xml:space="preserve">Doses in our daily lives. NRC Web. April 26, 2022. Accessed June 22, 2025. </w:t>
      </w:r>
      <w:hyperlink r:id="rId10" w:history="1">
        <w:r w:rsidRPr="00C46B3C">
          <w:rPr>
            <w:rStyle w:val="Hyperlink"/>
            <w:rFonts w:ascii="Times New Roman" w:hAnsi="Times New Roman"/>
          </w:rPr>
          <w:t>https://www.nrc.gov/about-nrc/radiation/around-us/doses-daily-lives.html</w:t>
        </w:r>
      </w:hyperlink>
      <w:r w:rsidRPr="00C46B3C">
        <w:rPr>
          <w:rFonts w:ascii="Times New Roman" w:hAnsi="Times New Roman"/>
        </w:rPr>
        <w:t>.</w:t>
      </w:r>
    </w:p>
    <w:p w14:paraId="656EA3A9" w14:textId="10B47431" w:rsidR="00A86269" w:rsidRPr="00C46B3C" w:rsidRDefault="00A86269" w:rsidP="00A86269">
      <w:pPr>
        <w:pStyle w:val="MDPI71References"/>
        <w:numPr>
          <w:ilvl w:val="0"/>
          <w:numId w:val="5"/>
        </w:numPr>
        <w:ind w:left="425" w:hanging="425"/>
        <w:rPr>
          <w:rFonts w:ascii="Times New Roman" w:hAnsi="Times New Roman"/>
        </w:rPr>
      </w:pPr>
      <w:r w:rsidRPr="00C46B3C">
        <w:rPr>
          <w:rFonts w:ascii="Times New Roman" w:hAnsi="Times New Roman"/>
        </w:rPr>
        <w:t xml:space="preserve">Guidelines for ALARA – as low as reasonably achievable. Centers for Disease Control and Prevention. February 26, 2024. Accessed July 22, 2025. </w:t>
      </w:r>
      <w:hyperlink r:id="rId11" w:history="1">
        <w:r w:rsidRPr="00C46B3C">
          <w:rPr>
            <w:rStyle w:val="Hyperlink"/>
            <w:rFonts w:ascii="Times New Roman" w:hAnsi="Times New Roman"/>
          </w:rPr>
          <w:t>https://www.cdc.gov/radiation-health/safety/alara.html</w:t>
        </w:r>
      </w:hyperlink>
      <w:r w:rsidRPr="00C46B3C">
        <w:rPr>
          <w:rFonts w:ascii="Times New Roman" w:hAnsi="Times New Roman"/>
        </w:rPr>
        <w:t>.</w:t>
      </w:r>
    </w:p>
    <w:p w14:paraId="60897577" w14:textId="798B5E57" w:rsidR="00A86269" w:rsidRPr="00C46B3C" w:rsidRDefault="00A86269" w:rsidP="00A86269">
      <w:pPr>
        <w:pStyle w:val="MDPI71References"/>
        <w:numPr>
          <w:ilvl w:val="0"/>
          <w:numId w:val="5"/>
        </w:numPr>
        <w:ind w:left="425" w:hanging="425"/>
        <w:rPr>
          <w:rFonts w:ascii="Times New Roman" w:hAnsi="Times New Roman"/>
        </w:rPr>
      </w:pPr>
      <w:r w:rsidRPr="00C46B3C">
        <w:rPr>
          <w:rFonts w:ascii="Times New Roman" w:hAnsi="Times New Roman"/>
        </w:rPr>
        <w:t xml:space="preserve">Center for Devices and Radiological Health. Pediatric X-ray imaging. U.S. Food and Drug Administration. March 20, 2023. Accessed July 22, 2025. </w:t>
      </w:r>
      <w:hyperlink r:id="rId12" w:history="1">
        <w:r w:rsidRPr="00C46B3C">
          <w:rPr>
            <w:rStyle w:val="Hyperlink"/>
            <w:rFonts w:ascii="Times New Roman" w:hAnsi="Times New Roman"/>
          </w:rPr>
          <w:t>https://www.fda.gov/radiation-emitting-products/medical-imaging/pediatric-x-ray-imaging</w:t>
        </w:r>
      </w:hyperlink>
    </w:p>
    <w:p w14:paraId="146C45BA" w14:textId="77777777" w:rsidR="00A86269" w:rsidRPr="00C46B3C" w:rsidRDefault="00A86269" w:rsidP="00A86269">
      <w:pPr>
        <w:pStyle w:val="MDPI71References"/>
        <w:numPr>
          <w:ilvl w:val="0"/>
          <w:numId w:val="5"/>
        </w:numPr>
        <w:ind w:left="425" w:hanging="425"/>
        <w:rPr>
          <w:rFonts w:ascii="Times New Roman" w:hAnsi="Times New Roman"/>
        </w:rPr>
      </w:pPr>
      <w:r w:rsidRPr="00C46B3C">
        <w:rPr>
          <w:rFonts w:ascii="Times New Roman" w:hAnsi="Times New Roman"/>
        </w:rPr>
        <w:t>Amis ES Jr, Butler PF; American College of Radiology. ACR white paper on radiation dose in medicine: three years later. </w:t>
      </w:r>
      <w:r w:rsidRPr="00C46B3C">
        <w:rPr>
          <w:rFonts w:ascii="Times New Roman" w:hAnsi="Times New Roman"/>
          <w:i/>
          <w:iCs/>
        </w:rPr>
        <w:t>J Am Coll Radiol</w:t>
      </w:r>
      <w:r w:rsidRPr="00C46B3C">
        <w:rPr>
          <w:rFonts w:ascii="Times New Roman" w:hAnsi="Times New Roman"/>
        </w:rPr>
        <w:t>. 2010;7(11):865-870. doi:10.1016/j.jacr.2010.04.006</w:t>
      </w:r>
    </w:p>
    <w:p w14:paraId="18BBAED7" w14:textId="01E010EE" w:rsidR="00A86269" w:rsidRPr="00C46B3C" w:rsidRDefault="00A86269" w:rsidP="00A86269">
      <w:pPr>
        <w:pStyle w:val="MDPI71References"/>
        <w:numPr>
          <w:ilvl w:val="0"/>
          <w:numId w:val="5"/>
        </w:numPr>
        <w:ind w:left="425" w:hanging="425"/>
        <w:rPr>
          <w:rFonts w:ascii="Times New Roman" w:hAnsi="Times New Roman"/>
        </w:rPr>
      </w:pPr>
      <w:r w:rsidRPr="00C46B3C">
        <w:rPr>
          <w:rFonts w:ascii="Times New Roman" w:hAnsi="Times New Roman"/>
        </w:rPr>
        <w:t xml:space="preserve">What Parents Should Know about Medical Radiation Safety. Image Gently. Accessed July 22, 2025. https://www.imagegently.org/Portals/6/Parents/Image_Gently_8.5x11_Brochure.pdf. </w:t>
      </w:r>
    </w:p>
    <w:p w14:paraId="732F1F68" w14:textId="77777777" w:rsidR="00A86269" w:rsidRPr="00C46B3C" w:rsidRDefault="00A86269" w:rsidP="00A86269">
      <w:pPr>
        <w:pStyle w:val="MDPI71References"/>
        <w:numPr>
          <w:ilvl w:val="0"/>
          <w:numId w:val="5"/>
        </w:numPr>
        <w:ind w:left="425" w:hanging="425"/>
        <w:rPr>
          <w:rFonts w:ascii="Times New Roman" w:hAnsi="Times New Roman"/>
        </w:rPr>
      </w:pPr>
      <w:r w:rsidRPr="00C46B3C">
        <w:rPr>
          <w:rFonts w:ascii="Times New Roman" w:hAnsi="Times New Roman"/>
        </w:rPr>
        <w:t xml:space="preserve">Ionizing radiation and health effects. World Health Organization. July 27, 2023. Accessed July 23, 2025. </w:t>
      </w:r>
      <w:hyperlink r:id="rId13" w:history="1">
        <w:r w:rsidRPr="00C46B3C">
          <w:rPr>
            <w:rStyle w:val="Hyperlink"/>
            <w:rFonts w:ascii="Times New Roman" w:hAnsi="Times New Roman"/>
          </w:rPr>
          <w:t>https://www.who.int/news-room/fact-sheets/detail/ionizing-radiation-and-health-effects</w:t>
        </w:r>
      </w:hyperlink>
      <w:r w:rsidRPr="00C46B3C">
        <w:rPr>
          <w:rFonts w:ascii="Times New Roman" w:hAnsi="Times New Roman"/>
        </w:rPr>
        <w:t>.</w:t>
      </w:r>
    </w:p>
    <w:p w14:paraId="71D4C68C" w14:textId="77777777" w:rsidR="00A86269" w:rsidRPr="00C46B3C" w:rsidRDefault="00A86269" w:rsidP="00A86269">
      <w:pPr>
        <w:pStyle w:val="MDPI71References"/>
        <w:numPr>
          <w:ilvl w:val="0"/>
          <w:numId w:val="5"/>
        </w:numPr>
        <w:ind w:left="425" w:hanging="425"/>
        <w:rPr>
          <w:rFonts w:ascii="Times New Roman" w:hAnsi="Times New Roman"/>
        </w:rPr>
      </w:pPr>
      <w:r w:rsidRPr="00C46B3C">
        <w:rPr>
          <w:rFonts w:ascii="Times New Roman" w:hAnsi="Times New Roman"/>
        </w:rPr>
        <w:t xml:space="preserve">Dose limits. ICRPaedia. June 20, 2019. Accessed July 23, 2025. </w:t>
      </w:r>
      <w:hyperlink r:id="rId14" w:history="1">
        <w:r w:rsidRPr="00C46B3C">
          <w:rPr>
            <w:rStyle w:val="Hyperlink"/>
            <w:rFonts w:ascii="Times New Roman" w:hAnsi="Times New Roman"/>
          </w:rPr>
          <w:t>https://icrpaedia.org/Dose_limits</w:t>
        </w:r>
      </w:hyperlink>
      <w:r w:rsidRPr="00C46B3C">
        <w:rPr>
          <w:rFonts w:ascii="Times New Roman" w:hAnsi="Times New Roman"/>
        </w:rPr>
        <w:t xml:space="preserve">. </w:t>
      </w:r>
    </w:p>
    <w:p w14:paraId="0AD1ED1D" w14:textId="77777777" w:rsidR="00A86269" w:rsidRPr="00C46B3C" w:rsidRDefault="00A86269" w:rsidP="00A86269">
      <w:pPr>
        <w:pStyle w:val="MDPI71References"/>
        <w:numPr>
          <w:ilvl w:val="0"/>
          <w:numId w:val="5"/>
        </w:numPr>
        <w:ind w:left="425" w:hanging="425"/>
        <w:rPr>
          <w:rFonts w:ascii="Times New Roman" w:hAnsi="Times New Roman"/>
        </w:rPr>
      </w:pPr>
      <w:r w:rsidRPr="00C46B3C">
        <w:rPr>
          <w:rFonts w:ascii="Times New Roman" w:hAnsi="Times New Roman"/>
        </w:rPr>
        <w:t xml:space="preserve">Ionizing radiation - overview. Occupational Safety and Health Administration. Accessed July 23, 2025. https://www.osha.gov/ionizing-radiation. </w:t>
      </w:r>
    </w:p>
    <w:p w14:paraId="02EA9DC2" w14:textId="4ED6463C" w:rsidR="00A86269" w:rsidRPr="00C46B3C" w:rsidRDefault="00A86269" w:rsidP="00A86269">
      <w:pPr>
        <w:pStyle w:val="MDPI71References"/>
        <w:numPr>
          <w:ilvl w:val="0"/>
          <w:numId w:val="5"/>
        </w:numPr>
        <w:ind w:left="425" w:hanging="425"/>
        <w:rPr>
          <w:rFonts w:ascii="Times New Roman" w:hAnsi="Times New Roman"/>
        </w:rPr>
      </w:pPr>
      <w:r w:rsidRPr="00C46B3C">
        <w:rPr>
          <w:rFonts w:ascii="Times New Roman" w:hAnsi="Times New Roman"/>
        </w:rPr>
        <w:t>Pacult MA, Walker CT, Godzik J, Turner JD, Uribe JS. Emerging Technologies in Spinal Surgery: Ultra-Low Radiation Imaging Platforms. Oper Neurosurg (Hagerstown). 2021;21(Suppl 1):S39-S45. doi:10.1093/ons/opaa324</w:t>
      </w:r>
    </w:p>
    <w:p w14:paraId="5BC6AD0F" w14:textId="684B0DBD" w:rsidR="00A86269" w:rsidRPr="00C46B3C" w:rsidRDefault="00A86269" w:rsidP="00A86269">
      <w:pPr>
        <w:pStyle w:val="MDPI71References"/>
        <w:numPr>
          <w:ilvl w:val="0"/>
          <w:numId w:val="5"/>
        </w:numPr>
        <w:ind w:left="425" w:hanging="425"/>
        <w:rPr>
          <w:rFonts w:ascii="Times New Roman" w:hAnsi="Times New Roman"/>
        </w:rPr>
      </w:pPr>
      <w:r w:rsidRPr="00C46B3C">
        <w:rPr>
          <w:rFonts w:ascii="Times New Roman" w:hAnsi="Times New Roman"/>
        </w:rPr>
        <w:t>Rose LD, Williams R, Ajayi B, et al. Reducing radiation exposure and cancer risk for children with scoliosis: EOS the new gold standard. Spine Deform. 2023;11(4):847-851. doi:10.1007/s43390-023-00653-6</w:t>
      </w:r>
    </w:p>
    <w:p w14:paraId="190F373F" w14:textId="77777777" w:rsidR="00C46B3C" w:rsidRDefault="00A86269" w:rsidP="00F715DE">
      <w:pPr>
        <w:pStyle w:val="MDPI71References"/>
        <w:numPr>
          <w:ilvl w:val="0"/>
          <w:numId w:val="5"/>
        </w:numPr>
        <w:ind w:left="425" w:hanging="425"/>
        <w:rPr>
          <w:rFonts w:ascii="Times New Roman" w:hAnsi="Times New Roman"/>
        </w:rPr>
      </w:pPr>
      <w:r w:rsidRPr="00C46B3C">
        <w:rPr>
          <w:rFonts w:ascii="Times New Roman" w:hAnsi="Times New Roman"/>
        </w:rPr>
        <w:t>Presciutti SM, Karukanda T, Lee M. Management decisions for adolescent idiopathic scoliosis significantly affect patient radiation exposure. Spine J. 2014;14(9):1984-1990. doi:10.1016/j.spinee.2013.11.055</w:t>
      </w:r>
    </w:p>
    <w:p w14:paraId="60D5A7C7" w14:textId="77777777" w:rsidR="00C46B3C" w:rsidRDefault="00C46B3C" w:rsidP="00C46B3C">
      <w:pPr>
        <w:pStyle w:val="MDPI71References"/>
        <w:numPr>
          <w:ilvl w:val="0"/>
          <w:numId w:val="0"/>
        </w:numPr>
        <w:rPr>
          <w:rFonts w:ascii="Times New Roman" w:hAnsi="Times New Roman"/>
        </w:rPr>
      </w:pPr>
    </w:p>
    <w:p w14:paraId="2E7D272C" w14:textId="2A4751BD" w:rsidR="00165A9A" w:rsidRPr="00C46B3C" w:rsidRDefault="00F715DE" w:rsidP="004C6FC4">
      <w:pPr>
        <w:pStyle w:val="MDPI71References"/>
        <w:numPr>
          <w:ilvl w:val="0"/>
          <w:numId w:val="0"/>
        </w:numPr>
        <w:rPr>
          <w:rFonts w:ascii="Times New Roman" w:hAnsi="Times New Roman"/>
        </w:rPr>
      </w:pPr>
      <w:r w:rsidRPr="00C46B3C">
        <w:rPr>
          <w:rFonts w:ascii="Times New Roman" w:hAnsi="Times New Roman"/>
          <w:b/>
        </w:rPr>
        <w:t>Disclaimer/Publisher’s Note:</w:t>
      </w:r>
      <w:r w:rsidRPr="00C46B3C">
        <w:rPr>
          <w:rFonts w:ascii="Times New Roman" w:hAnsi="Times New Roman"/>
        </w:rPr>
        <w:t xml:space="preserve"> The statements, opinions and data contained in all publications are solely those of the individual author(s) and contributor(s) and not of </w:t>
      </w:r>
      <w:r w:rsidR="00C46B3C" w:rsidRPr="00C46B3C">
        <w:rPr>
          <w:rFonts w:ascii="Times New Roman" w:hAnsi="Times New Roman"/>
        </w:rPr>
        <w:t>PHSU-SJ</w:t>
      </w:r>
      <w:r w:rsidRPr="00C46B3C">
        <w:rPr>
          <w:rFonts w:ascii="Times New Roman" w:hAnsi="Times New Roman"/>
        </w:rPr>
        <w:t xml:space="preserve"> and/or the editor(s). </w:t>
      </w:r>
      <w:r w:rsidR="00C46B3C" w:rsidRPr="00C46B3C">
        <w:rPr>
          <w:rFonts w:ascii="Times New Roman" w:hAnsi="Times New Roman"/>
        </w:rPr>
        <w:t>PHSU-SJ</w:t>
      </w:r>
      <w:r w:rsidRPr="00C46B3C">
        <w:rPr>
          <w:rFonts w:ascii="Times New Roman" w:hAnsi="Times New Roman"/>
        </w:rPr>
        <w:t xml:space="preserve"> and/or the editor(s) disclaim responsibility for any injury to people or property resulting from any ideas, methods, instructions or products referred to in the content.</w:t>
      </w:r>
    </w:p>
    <w:sectPr w:rsidR="00165A9A" w:rsidRPr="00C46B3C" w:rsidSect="00857F17">
      <w:headerReference w:type="default" r:id="rId15"/>
      <w:footerReference w:type="default" r:id="rId16"/>
      <w:headerReference w:type="first" r:id="rId17"/>
      <w:footerReference w:type="first" r:id="rId18"/>
      <w:pgSz w:w="12240" w:h="15840"/>
      <w:pgMar w:top="1411" w:right="720" w:bottom="1440" w:left="720" w:header="288" w:footer="346" w:gutter="14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A0EF" w14:textId="77777777" w:rsidR="00CD5713" w:rsidRDefault="00CD5713" w:rsidP="00CA25FB">
      <w:pPr>
        <w:spacing w:line="240" w:lineRule="auto"/>
      </w:pPr>
      <w:r>
        <w:separator/>
      </w:r>
    </w:p>
  </w:endnote>
  <w:endnote w:type="continuationSeparator" w:id="0">
    <w:p w14:paraId="16A0FE4D" w14:textId="77777777" w:rsidR="00CD5713" w:rsidRDefault="00CD5713" w:rsidP="00CA2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83D1" w14:textId="2D0C0BF9" w:rsidR="00CE27B5" w:rsidRPr="00CE27B5" w:rsidRDefault="00CE27B5" w:rsidP="00CE27B5">
    <w:pPr>
      <w:tabs>
        <w:tab w:val="right" w:pos="10466"/>
      </w:tabs>
      <w:adjustRightInd w:val="0"/>
      <w:snapToGrid w:val="0"/>
      <w:spacing w:line="240" w:lineRule="auto"/>
      <w:rPr>
        <w:sz w:val="16"/>
        <w:szCs w:val="16"/>
        <w:lang w:val="fr-CH"/>
      </w:rPr>
    </w:pPr>
    <w:r>
      <w:rPr>
        <w:i/>
        <w:sz w:val="16"/>
        <w:szCs w:val="16"/>
        <w:lang w:val="es-ES_tradnl"/>
      </w:rPr>
      <w:t>Ponce Health Sciences University Scientific Journal,</w:t>
    </w:r>
    <w:r w:rsidRPr="002D75EC">
      <w:rPr>
        <w:i/>
        <w:sz w:val="16"/>
        <w:szCs w:val="16"/>
        <w:lang w:val="es-ES_tradnl"/>
      </w:rPr>
      <w:t xml:space="preserve"> </w:t>
    </w:r>
    <w:r w:rsidRPr="002D75EC">
      <w:rPr>
        <w:b/>
        <w:bCs/>
        <w:iCs/>
        <w:sz w:val="16"/>
        <w:szCs w:val="16"/>
        <w:lang w:val="es-ES_tradnl"/>
      </w:rPr>
      <w:t>202</w:t>
    </w:r>
    <w:r w:rsidR="00C46B3C">
      <w:rPr>
        <w:b/>
        <w:bCs/>
        <w:iCs/>
        <w:sz w:val="16"/>
        <w:szCs w:val="16"/>
        <w:lang w:val="es-ES_tradnl"/>
      </w:rPr>
      <w:t>6</w:t>
    </w:r>
    <w:r w:rsidRPr="002D75EC">
      <w:rPr>
        <w:bCs/>
        <w:iCs/>
        <w:sz w:val="16"/>
        <w:szCs w:val="16"/>
        <w:lang w:val="es-ES_tradnl"/>
      </w:rPr>
      <w:t>,</w:t>
    </w:r>
    <w:r w:rsidRPr="002D75EC">
      <w:rPr>
        <w:bCs/>
        <w:i/>
        <w:iCs/>
        <w:sz w:val="16"/>
        <w:szCs w:val="16"/>
        <w:lang w:val="es-ES_tradnl"/>
      </w:rPr>
      <w:t xml:space="preserve"> </w:t>
    </w:r>
    <w:r w:rsidR="00C46B3C">
      <w:rPr>
        <w:bCs/>
        <w:i/>
        <w:iCs/>
        <w:sz w:val="16"/>
        <w:szCs w:val="16"/>
        <w:lang w:val="es-ES_tradnl"/>
      </w:rPr>
      <w:t>2</w:t>
    </w:r>
    <w:r w:rsidRPr="002D75EC">
      <w:rPr>
        <w:bCs/>
        <w:iCs/>
        <w:sz w:val="16"/>
        <w:szCs w:val="16"/>
        <w:lang w:val="es-ES_tradnl"/>
      </w:rPr>
      <w:t xml:space="preserve">. </w:t>
    </w:r>
    <w:r w:rsidRPr="00372FCD">
      <w:rPr>
        <w:sz w:val="16"/>
        <w:szCs w:val="16"/>
        <w:lang w:val="fr-CH"/>
      </w:rPr>
      <w:tab/>
      <w:t>www.</w:t>
    </w:r>
    <w:r>
      <w:rPr>
        <w:sz w:val="16"/>
        <w:szCs w:val="16"/>
        <w:lang w:val="fr-CH"/>
      </w:rPr>
      <w:t>phsujournal</w:t>
    </w:r>
    <w:r w:rsidRPr="00372FCD">
      <w:rPr>
        <w:sz w:val="16"/>
        <w:szCs w:val="16"/>
        <w:lang w:val="fr-CH"/>
      </w:rPr>
      <w: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54C5" w14:textId="78ECDF6D" w:rsidR="0038036B" w:rsidRPr="0038036B" w:rsidRDefault="0038036B" w:rsidP="0038036B">
    <w:pPr>
      <w:tabs>
        <w:tab w:val="right" w:pos="10466"/>
      </w:tabs>
      <w:adjustRightInd w:val="0"/>
      <w:snapToGrid w:val="0"/>
      <w:spacing w:line="240" w:lineRule="auto"/>
      <w:rPr>
        <w:sz w:val="16"/>
        <w:szCs w:val="16"/>
        <w:lang w:val="fr-CH"/>
      </w:rPr>
    </w:pPr>
    <w:r>
      <w:rPr>
        <w:i/>
        <w:sz w:val="16"/>
        <w:szCs w:val="16"/>
        <w:lang w:val="es-ES_tradnl"/>
      </w:rPr>
      <w:t>Ponce Health Sciences University Scientific Journal</w:t>
    </w:r>
    <w:r w:rsidR="00F715DE">
      <w:rPr>
        <w:i/>
        <w:sz w:val="16"/>
        <w:szCs w:val="16"/>
        <w:lang w:val="es-ES_tradnl"/>
      </w:rPr>
      <w:t>,</w:t>
    </w:r>
    <w:r w:rsidRPr="002D75EC">
      <w:rPr>
        <w:i/>
        <w:sz w:val="16"/>
        <w:szCs w:val="16"/>
        <w:lang w:val="es-ES_tradnl"/>
      </w:rPr>
      <w:t xml:space="preserve"> </w:t>
    </w:r>
    <w:r w:rsidRPr="002D75EC">
      <w:rPr>
        <w:b/>
        <w:bCs/>
        <w:iCs/>
        <w:sz w:val="16"/>
        <w:szCs w:val="16"/>
        <w:lang w:val="es-ES_tradnl"/>
      </w:rPr>
      <w:t>202</w:t>
    </w:r>
    <w:r w:rsidR="00C46B3C">
      <w:rPr>
        <w:b/>
        <w:bCs/>
        <w:iCs/>
        <w:sz w:val="16"/>
        <w:szCs w:val="16"/>
        <w:lang w:val="es-ES_tradnl"/>
      </w:rPr>
      <w:t>6</w:t>
    </w:r>
    <w:r w:rsidRPr="002D75EC">
      <w:rPr>
        <w:bCs/>
        <w:iCs/>
        <w:sz w:val="16"/>
        <w:szCs w:val="16"/>
        <w:lang w:val="es-ES_tradnl"/>
      </w:rPr>
      <w:t>,</w:t>
    </w:r>
    <w:r w:rsidRPr="002D75EC">
      <w:rPr>
        <w:bCs/>
        <w:i/>
        <w:iCs/>
        <w:sz w:val="16"/>
        <w:szCs w:val="16"/>
        <w:lang w:val="es-ES_tradnl"/>
      </w:rPr>
      <w:t xml:space="preserve"> </w:t>
    </w:r>
    <w:r w:rsidR="00C46B3C">
      <w:rPr>
        <w:bCs/>
        <w:i/>
        <w:iCs/>
        <w:sz w:val="16"/>
        <w:szCs w:val="16"/>
        <w:lang w:val="es-ES_tradnl"/>
      </w:rPr>
      <w:t>2</w:t>
    </w:r>
    <w:r w:rsidRPr="002D75EC">
      <w:rPr>
        <w:bCs/>
        <w:iCs/>
        <w:sz w:val="16"/>
        <w:szCs w:val="16"/>
        <w:lang w:val="es-ES_tradnl"/>
      </w:rPr>
      <w:t xml:space="preserve">. </w:t>
    </w:r>
    <w:r w:rsidRPr="00372FCD">
      <w:rPr>
        <w:sz w:val="16"/>
        <w:szCs w:val="16"/>
        <w:lang w:val="fr-CH"/>
      </w:rPr>
      <w:tab/>
      <w:t>www.</w:t>
    </w:r>
    <w:r>
      <w:rPr>
        <w:sz w:val="16"/>
        <w:szCs w:val="16"/>
        <w:lang w:val="fr-CH"/>
      </w:rPr>
      <w:t>phsujournal</w:t>
    </w:r>
    <w:r w:rsidRPr="00372FCD">
      <w:rPr>
        <w:sz w:val="16"/>
        <w:szCs w:val="16"/>
        <w:lang w:val="fr-CH"/>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8D7D" w14:textId="77777777" w:rsidR="00CD5713" w:rsidRDefault="00CD5713" w:rsidP="00CA25FB">
      <w:pPr>
        <w:spacing w:line="240" w:lineRule="auto"/>
      </w:pPr>
      <w:r>
        <w:separator/>
      </w:r>
    </w:p>
  </w:footnote>
  <w:footnote w:type="continuationSeparator" w:id="0">
    <w:p w14:paraId="75A8ABC7" w14:textId="77777777" w:rsidR="00CD5713" w:rsidRDefault="00CD5713" w:rsidP="00CA25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A65E" w14:textId="5B476AA4" w:rsidR="0068698C" w:rsidRPr="00F715DE" w:rsidRDefault="00F715DE" w:rsidP="0068698C">
    <w:pPr>
      <w:tabs>
        <w:tab w:val="right" w:pos="10466"/>
      </w:tabs>
      <w:adjustRightInd w:val="0"/>
      <w:snapToGrid w:val="0"/>
      <w:spacing w:line="240" w:lineRule="auto"/>
      <w:rPr>
        <w:sz w:val="16"/>
        <w:szCs w:val="16"/>
        <w:lang w:val="fr-CH"/>
      </w:rPr>
    </w:pPr>
    <w:r>
      <w:rPr>
        <w:i/>
        <w:sz w:val="16"/>
        <w:szCs w:val="16"/>
        <w:lang w:val="es-ES_tradnl"/>
      </w:rPr>
      <w:t>Ponce Health Sciences University Scientific Journal,</w:t>
    </w:r>
    <w:r w:rsidRPr="002D75EC">
      <w:rPr>
        <w:i/>
        <w:sz w:val="16"/>
        <w:szCs w:val="16"/>
        <w:lang w:val="es-ES_tradnl"/>
      </w:rPr>
      <w:t xml:space="preserve"> </w:t>
    </w:r>
    <w:r w:rsidRPr="002D75EC">
      <w:rPr>
        <w:b/>
        <w:bCs/>
        <w:iCs/>
        <w:sz w:val="16"/>
        <w:szCs w:val="16"/>
        <w:lang w:val="es-ES_tradnl"/>
      </w:rPr>
      <w:t>202</w:t>
    </w:r>
    <w:r w:rsidR="00C46B3C">
      <w:rPr>
        <w:b/>
        <w:bCs/>
        <w:iCs/>
        <w:sz w:val="16"/>
        <w:szCs w:val="16"/>
        <w:lang w:val="es-ES_tradnl"/>
      </w:rPr>
      <w:t>6</w:t>
    </w:r>
    <w:r w:rsidRPr="002D75EC">
      <w:rPr>
        <w:bCs/>
        <w:iCs/>
        <w:sz w:val="16"/>
        <w:szCs w:val="16"/>
        <w:lang w:val="es-ES_tradnl"/>
      </w:rPr>
      <w:t>,</w:t>
    </w:r>
    <w:r w:rsidRPr="002D75EC">
      <w:rPr>
        <w:bCs/>
        <w:i/>
        <w:iCs/>
        <w:sz w:val="16"/>
        <w:szCs w:val="16"/>
        <w:lang w:val="es-ES_tradnl"/>
      </w:rPr>
      <w:t xml:space="preserve"> </w:t>
    </w:r>
    <w:r w:rsidR="00C46B3C">
      <w:rPr>
        <w:bCs/>
        <w:i/>
        <w:iCs/>
        <w:sz w:val="16"/>
        <w:szCs w:val="16"/>
        <w:lang w:val="es-ES_tradnl"/>
      </w:rPr>
      <w:t>2</w:t>
    </w:r>
    <w:r w:rsidRPr="002D75EC">
      <w:rPr>
        <w:bCs/>
        <w:iCs/>
        <w:sz w:val="16"/>
        <w:szCs w:val="16"/>
        <w:lang w:val="es-ES_tradnl"/>
      </w:rPr>
      <w:t xml:space="preserve">. </w:t>
    </w:r>
    <w:r w:rsidR="0068698C">
      <w:rPr>
        <w:sz w:val="16"/>
      </w:rPr>
      <w:t xml:space="preserve"> FOR PEER REVIEW</w:t>
    </w:r>
    <w:r>
      <w:rPr>
        <w:sz w:val="16"/>
      </w:rPr>
      <w:t xml:space="preserve"> </w:t>
    </w:r>
    <w:r w:rsidR="0068698C">
      <w:rPr>
        <w:sz w:val="16"/>
      </w:rPr>
      <w:tab/>
    </w:r>
  </w:p>
  <w:p w14:paraId="546F6A76" w14:textId="1BDF5515" w:rsidR="0068698C" w:rsidRDefault="0068698C">
    <w:pPr>
      <w:pStyle w:val="Header"/>
    </w:pPr>
  </w:p>
  <w:p w14:paraId="169FF6E6" w14:textId="05F651C8" w:rsidR="00CA25FB" w:rsidRPr="0068698C" w:rsidRDefault="00CA25FB" w:rsidP="0068698C">
    <w:pPr>
      <w:tabs>
        <w:tab w:val="right" w:pos="10466"/>
      </w:tabs>
      <w:adjustRightInd w:val="0"/>
      <w:snapToGrid w:val="0"/>
      <w:spacing w:line="240" w:lineRule="auto"/>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B200" w14:textId="7E84CE15" w:rsidR="00677630" w:rsidRDefault="00606706" w:rsidP="0068698C">
    <w:pPr>
      <w:pStyle w:val="Header"/>
      <w:ind w:right="2466"/>
      <w:jc w:val="left"/>
    </w:pPr>
    <w:r>
      <w:rPr>
        <w:rFonts w:ascii="Times New Roman" w:hAnsi="Times New Roman"/>
        <w:noProof/>
        <w14:ligatures w14:val="standardContextual"/>
      </w:rPr>
      <w:drawing>
        <wp:inline distT="0" distB="0" distL="0" distR="0" wp14:anchorId="47E304F9" wp14:editId="58C45FFF">
          <wp:extent cx="6766560" cy="796290"/>
          <wp:effectExtent l="0" t="0" r="2540" b="3810"/>
          <wp:docPr id="1491810148" name="Picture 1">
            <a:extLst xmlns:a="http://schemas.openxmlformats.org/drawingml/2006/main">
              <a:ext uri="{FF2B5EF4-FFF2-40B4-BE49-F238E27FC236}">
                <a16:creationId xmlns:a16="http://schemas.microsoft.com/office/drawing/2014/main" id="{F37CD8B1-6322-44DB-9C5A-E45A294D27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10148" name="Picture 1491810148"/>
                  <pic:cNvPicPr/>
                </pic:nvPicPr>
                <pic:blipFill>
                  <a:blip r:embed="rId1">
                    <a:extLst>
                      <a:ext uri="{28A0092B-C50C-407E-A947-70E740481C1C}">
                        <a14:useLocalDpi xmlns:a14="http://schemas.microsoft.com/office/drawing/2010/main" val="0"/>
                      </a:ext>
                    </a:extLst>
                  </a:blip>
                  <a:stretch>
                    <a:fillRect/>
                  </a:stretch>
                </pic:blipFill>
                <pic:spPr>
                  <a:xfrm>
                    <a:off x="0" y="0"/>
                    <a:ext cx="6766560" cy="796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0A7C9E58"/>
    <w:lvl w:ilvl="0" w:tplc="29F60EA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768A1702"/>
    <w:lvl w:ilvl="0" w:tplc="30EE9608">
      <w:start w:val="1"/>
      <w:numFmt w:val="decimal"/>
      <w:lvlText w:val="%1."/>
      <w:lvlJc w:val="left"/>
      <w:pPr>
        <w:ind w:left="690" w:hanging="4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1EB444C"/>
    <w:multiLevelType w:val="hybridMultilevel"/>
    <w:tmpl w:val="0FC43EE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CE7A6F"/>
    <w:multiLevelType w:val="hybridMultilevel"/>
    <w:tmpl w:val="E8A6BE1E"/>
    <w:lvl w:ilvl="0" w:tplc="595EF18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F3720F"/>
    <w:multiLevelType w:val="hybridMultilevel"/>
    <w:tmpl w:val="778E0D1C"/>
    <w:lvl w:ilvl="0" w:tplc="47D41B6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6" w15:restartNumberingAfterBreak="0">
    <w:nsid w:val="7CD67644"/>
    <w:multiLevelType w:val="hybridMultilevel"/>
    <w:tmpl w:val="A314D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7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3531929">
    <w:abstractNumId w:val="6"/>
  </w:num>
  <w:num w:numId="3" w16cid:durableId="357435843">
    <w:abstractNumId w:val="2"/>
  </w:num>
  <w:num w:numId="4" w16cid:durableId="51000531">
    <w:abstractNumId w:val="4"/>
  </w:num>
  <w:num w:numId="5" w16cid:durableId="705176169">
    <w:abstractNumId w:val="1"/>
  </w:num>
  <w:num w:numId="6" w16cid:durableId="705714496">
    <w:abstractNumId w:val="5"/>
  </w:num>
  <w:num w:numId="7" w16cid:durableId="791288244">
    <w:abstractNumId w:val="0"/>
  </w:num>
  <w:num w:numId="8" w16cid:durableId="807622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FB"/>
    <w:rsid w:val="000318A6"/>
    <w:rsid w:val="00031CA7"/>
    <w:rsid w:val="00043D1A"/>
    <w:rsid w:val="00057580"/>
    <w:rsid w:val="000818DA"/>
    <w:rsid w:val="0009506C"/>
    <w:rsid w:val="000B6C44"/>
    <w:rsid w:val="000C6D19"/>
    <w:rsid w:val="000E639A"/>
    <w:rsid w:val="00105A8C"/>
    <w:rsid w:val="00106DF1"/>
    <w:rsid w:val="001175CF"/>
    <w:rsid w:val="001422E3"/>
    <w:rsid w:val="001540BB"/>
    <w:rsid w:val="00165A9A"/>
    <w:rsid w:val="00184B67"/>
    <w:rsid w:val="00193DE7"/>
    <w:rsid w:val="001C2835"/>
    <w:rsid w:val="001E1A6D"/>
    <w:rsid w:val="00215578"/>
    <w:rsid w:val="00226ECB"/>
    <w:rsid w:val="00251314"/>
    <w:rsid w:val="002606A8"/>
    <w:rsid w:val="002621CB"/>
    <w:rsid w:val="002C5824"/>
    <w:rsid w:val="002E5B3E"/>
    <w:rsid w:val="002E6C75"/>
    <w:rsid w:val="00316537"/>
    <w:rsid w:val="00367E72"/>
    <w:rsid w:val="0038036B"/>
    <w:rsid w:val="003E2E4D"/>
    <w:rsid w:val="003F5FD3"/>
    <w:rsid w:val="00412E28"/>
    <w:rsid w:val="00423110"/>
    <w:rsid w:val="0043368B"/>
    <w:rsid w:val="004422A9"/>
    <w:rsid w:val="00477EA0"/>
    <w:rsid w:val="004A6960"/>
    <w:rsid w:val="004C6FC4"/>
    <w:rsid w:val="005052B9"/>
    <w:rsid w:val="0051269E"/>
    <w:rsid w:val="005361A7"/>
    <w:rsid w:val="00550DB5"/>
    <w:rsid w:val="005A0847"/>
    <w:rsid w:val="005B17A7"/>
    <w:rsid w:val="005B3D8D"/>
    <w:rsid w:val="005B4A12"/>
    <w:rsid w:val="005D2553"/>
    <w:rsid w:val="00606706"/>
    <w:rsid w:val="006768E5"/>
    <w:rsid w:val="00677630"/>
    <w:rsid w:val="006777B5"/>
    <w:rsid w:val="0068698C"/>
    <w:rsid w:val="00695B9A"/>
    <w:rsid w:val="006A69F7"/>
    <w:rsid w:val="006B26FA"/>
    <w:rsid w:val="006D0F2B"/>
    <w:rsid w:val="006E1455"/>
    <w:rsid w:val="006F6D43"/>
    <w:rsid w:val="00702A70"/>
    <w:rsid w:val="00714FBA"/>
    <w:rsid w:val="0074312E"/>
    <w:rsid w:val="00760794"/>
    <w:rsid w:val="00780DAC"/>
    <w:rsid w:val="00786F8B"/>
    <w:rsid w:val="00794574"/>
    <w:rsid w:val="007B65B3"/>
    <w:rsid w:val="007C67D7"/>
    <w:rsid w:val="007E702D"/>
    <w:rsid w:val="007F214C"/>
    <w:rsid w:val="00806BE9"/>
    <w:rsid w:val="0081323F"/>
    <w:rsid w:val="00857F17"/>
    <w:rsid w:val="0086185D"/>
    <w:rsid w:val="008639BA"/>
    <w:rsid w:val="00866DB0"/>
    <w:rsid w:val="008712B9"/>
    <w:rsid w:val="008A60F4"/>
    <w:rsid w:val="008B1F14"/>
    <w:rsid w:val="008E7112"/>
    <w:rsid w:val="008F1406"/>
    <w:rsid w:val="00927EF7"/>
    <w:rsid w:val="0093563D"/>
    <w:rsid w:val="00980804"/>
    <w:rsid w:val="009B05A2"/>
    <w:rsid w:val="009D0040"/>
    <w:rsid w:val="009D1017"/>
    <w:rsid w:val="009E3B86"/>
    <w:rsid w:val="00A402E6"/>
    <w:rsid w:val="00A74592"/>
    <w:rsid w:val="00A76E7A"/>
    <w:rsid w:val="00A86269"/>
    <w:rsid w:val="00A97DC0"/>
    <w:rsid w:val="00B01C75"/>
    <w:rsid w:val="00B110E2"/>
    <w:rsid w:val="00B134E1"/>
    <w:rsid w:val="00B3427A"/>
    <w:rsid w:val="00B45B97"/>
    <w:rsid w:val="00B5211C"/>
    <w:rsid w:val="00B56199"/>
    <w:rsid w:val="00B755A2"/>
    <w:rsid w:val="00BB5220"/>
    <w:rsid w:val="00C37D1C"/>
    <w:rsid w:val="00C46B3C"/>
    <w:rsid w:val="00C91F73"/>
    <w:rsid w:val="00CA25FB"/>
    <w:rsid w:val="00CD5713"/>
    <w:rsid w:val="00CE27B5"/>
    <w:rsid w:val="00D03517"/>
    <w:rsid w:val="00D13FEE"/>
    <w:rsid w:val="00D2015E"/>
    <w:rsid w:val="00D2290F"/>
    <w:rsid w:val="00D32C24"/>
    <w:rsid w:val="00D43064"/>
    <w:rsid w:val="00D55AA8"/>
    <w:rsid w:val="00D56AF1"/>
    <w:rsid w:val="00D77D1C"/>
    <w:rsid w:val="00DA21D1"/>
    <w:rsid w:val="00DC0B60"/>
    <w:rsid w:val="00DC3D0D"/>
    <w:rsid w:val="00DE5814"/>
    <w:rsid w:val="00E11ECE"/>
    <w:rsid w:val="00E1314D"/>
    <w:rsid w:val="00E2090D"/>
    <w:rsid w:val="00E227A8"/>
    <w:rsid w:val="00E33C6D"/>
    <w:rsid w:val="00E511BE"/>
    <w:rsid w:val="00E7275A"/>
    <w:rsid w:val="00E976DE"/>
    <w:rsid w:val="00EA7B83"/>
    <w:rsid w:val="00EB7291"/>
    <w:rsid w:val="00ED2867"/>
    <w:rsid w:val="00F03393"/>
    <w:rsid w:val="00F05060"/>
    <w:rsid w:val="00F2742B"/>
    <w:rsid w:val="00F37206"/>
    <w:rsid w:val="00F4750C"/>
    <w:rsid w:val="00F5443B"/>
    <w:rsid w:val="00F715DE"/>
    <w:rsid w:val="00F72C6E"/>
    <w:rsid w:val="00FD11B6"/>
    <w:rsid w:val="498E5C88"/>
    <w:rsid w:val="6609D33C"/>
    <w:rsid w:val="7B3B8A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4559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FB"/>
    <w:pPr>
      <w:spacing w:line="260" w:lineRule="atLeast"/>
      <w:jc w:val="both"/>
    </w:pPr>
    <w:rPr>
      <w:rFonts w:ascii="Palatino Linotype" w:eastAsia="SimSun" w:hAnsi="Palatino Linotype" w:cs="Times New Roman"/>
      <w:color w:val="000000"/>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5FB"/>
    <w:pPr>
      <w:tabs>
        <w:tab w:val="center" w:pos="4680"/>
        <w:tab w:val="right" w:pos="9360"/>
      </w:tabs>
    </w:pPr>
  </w:style>
  <w:style w:type="character" w:customStyle="1" w:styleId="HeaderChar">
    <w:name w:val="Header Char"/>
    <w:basedOn w:val="DefaultParagraphFont"/>
    <w:link w:val="Header"/>
    <w:uiPriority w:val="99"/>
    <w:rsid w:val="00CA25FB"/>
  </w:style>
  <w:style w:type="paragraph" w:styleId="Footer">
    <w:name w:val="footer"/>
    <w:basedOn w:val="Normal"/>
    <w:link w:val="FooterChar"/>
    <w:uiPriority w:val="99"/>
    <w:unhideWhenUsed/>
    <w:rsid w:val="00CA25FB"/>
    <w:pPr>
      <w:tabs>
        <w:tab w:val="center" w:pos="4680"/>
        <w:tab w:val="right" w:pos="9360"/>
      </w:tabs>
    </w:pPr>
  </w:style>
  <w:style w:type="character" w:customStyle="1" w:styleId="FooterChar">
    <w:name w:val="Footer Char"/>
    <w:basedOn w:val="DefaultParagraphFont"/>
    <w:link w:val="Footer"/>
    <w:uiPriority w:val="99"/>
    <w:rsid w:val="00CA25FB"/>
  </w:style>
  <w:style w:type="character" w:styleId="LineNumber">
    <w:name w:val="line number"/>
    <w:basedOn w:val="DefaultParagraphFont"/>
    <w:uiPriority w:val="99"/>
    <w:semiHidden/>
    <w:unhideWhenUsed/>
    <w:rsid w:val="00CA25FB"/>
  </w:style>
  <w:style w:type="paragraph" w:customStyle="1" w:styleId="MDPI11articletype">
    <w:name w:val="MDPI_1.1_article_type"/>
    <w:next w:val="Normal"/>
    <w:qFormat/>
    <w:rsid w:val="00CA25FB"/>
    <w:pPr>
      <w:adjustRightInd w:val="0"/>
      <w:snapToGrid w:val="0"/>
      <w:spacing w:before="240"/>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12title">
    <w:name w:val="MDPI_1.2_title"/>
    <w:next w:val="Normal"/>
    <w:qFormat/>
    <w:rsid w:val="00CA25FB"/>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13authornames">
    <w:name w:val="MDPI_1.3_authornames"/>
    <w:next w:val="Normal"/>
    <w:qFormat/>
    <w:rsid w:val="00CA25FB"/>
    <w:pPr>
      <w:adjustRightInd w:val="0"/>
      <w:snapToGrid w:val="0"/>
      <w:spacing w:after="360" w:line="260" w:lineRule="atLeast"/>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6affiliation">
    <w:name w:val="MDPI_1.6_affiliation"/>
    <w:qFormat/>
    <w:rsid w:val="00CA25FB"/>
    <w:pPr>
      <w:adjustRightInd w:val="0"/>
      <w:snapToGrid w:val="0"/>
      <w:spacing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paragraph" w:customStyle="1" w:styleId="MDPI17abstract">
    <w:name w:val="MDPI_1.7_abstract"/>
    <w:next w:val="Normal"/>
    <w:qFormat/>
    <w:rsid w:val="00CA25FB"/>
    <w:pPr>
      <w:adjustRightInd w:val="0"/>
      <w:snapToGrid w:val="0"/>
      <w:spacing w:before="240" w:line="260" w:lineRule="atLeast"/>
      <w:ind w:left="2608"/>
      <w:jc w:val="both"/>
    </w:pPr>
    <w:rPr>
      <w:rFonts w:ascii="Palatino Linotype" w:eastAsia="Times New Roman" w:hAnsi="Palatino Linotype" w:cs="Times New Roman"/>
      <w:color w:val="000000"/>
      <w:kern w:val="0"/>
      <w:sz w:val="18"/>
      <w:szCs w:val="22"/>
      <w:lang w:eastAsia="de-DE" w:bidi="en-US"/>
      <w14:ligatures w14:val="none"/>
    </w:rPr>
  </w:style>
  <w:style w:type="paragraph" w:customStyle="1" w:styleId="MDPI18keywords">
    <w:name w:val="MDPI_1.8_keywords"/>
    <w:next w:val="Normal"/>
    <w:qFormat/>
    <w:rsid w:val="00CA25FB"/>
    <w:pPr>
      <w:adjustRightInd w:val="0"/>
      <w:snapToGrid w:val="0"/>
      <w:spacing w:before="240" w:line="260" w:lineRule="atLeast"/>
      <w:ind w:left="2608"/>
      <w:jc w:val="both"/>
    </w:pPr>
    <w:rPr>
      <w:rFonts w:ascii="Palatino Linotype" w:eastAsia="Times New Roman" w:hAnsi="Palatino Linotype" w:cs="Times New Roman"/>
      <w:snapToGrid w:val="0"/>
      <w:color w:val="000000"/>
      <w:kern w:val="0"/>
      <w:sz w:val="18"/>
      <w:szCs w:val="22"/>
      <w:lang w:eastAsia="de-DE" w:bidi="en-US"/>
      <w14:ligatures w14:val="none"/>
    </w:rPr>
  </w:style>
  <w:style w:type="paragraph" w:customStyle="1" w:styleId="MDPI19line">
    <w:name w:val="MDPI_1.9_line"/>
    <w:qFormat/>
    <w:rsid w:val="00CA25F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eastAsia="de-DE" w:bidi="en-US"/>
      <w14:ligatures w14:val="none"/>
    </w:rPr>
  </w:style>
  <w:style w:type="paragraph" w:customStyle="1" w:styleId="MDPI31text">
    <w:name w:val="MDPI_3.1_text"/>
    <w:qFormat/>
    <w:rsid w:val="00CA25FB"/>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1heading1">
    <w:name w:val="MDPI_2.1_heading1"/>
    <w:qFormat/>
    <w:rsid w:val="00CA25FB"/>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eastAsia="de-DE" w:bidi="en-US"/>
      <w14:ligatures w14:val="none"/>
    </w:rPr>
  </w:style>
  <w:style w:type="character" w:styleId="Hyperlink">
    <w:name w:val="Hyperlink"/>
    <w:basedOn w:val="DefaultParagraphFont"/>
    <w:uiPriority w:val="99"/>
    <w:unhideWhenUsed/>
    <w:rsid w:val="00CA25FB"/>
    <w:rPr>
      <w:color w:val="0563C1" w:themeColor="hyperlink"/>
      <w:u w:val="single"/>
    </w:rPr>
  </w:style>
  <w:style w:type="character" w:styleId="UnresolvedMention">
    <w:name w:val="Unresolved Mention"/>
    <w:basedOn w:val="DefaultParagraphFont"/>
    <w:uiPriority w:val="99"/>
    <w:semiHidden/>
    <w:unhideWhenUsed/>
    <w:rsid w:val="00CA25FB"/>
    <w:rPr>
      <w:color w:val="605E5C"/>
      <w:shd w:val="clear" w:color="auto" w:fill="E1DFDD"/>
    </w:rPr>
  </w:style>
  <w:style w:type="paragraph" w:customStyle="1" w:styleId="MDPI14history">
    <w:name w:val="MDPI_1.4_history"/>
    <w:basedOn w:val="Normal"/>
    <w:next w:val="Normal"/>
    <w:qFormat/>
    <w:rsid w:val="00CA25FB"/>
    <w:pPr>
      <w:adjustRightInd w:val="0"/>
      <w:snapToGrid w:val="0"/>
      <w:spacing w:line="240" w:lineRule="atLeast"/>
      <w:ind w:right="113"/>
      <w:jc w:val="left"/>
    </w:pPr>
    <w:rPr>
      <w:rFonts w:eastAsia="Times New Roman"/>
      <w:sz w:val="14"/>
      <w:lang w:eastAsia="de-DE" w:bidi="en-US"/>
    </w:rPr>
  </w:style>
  <w:style w:type="paragraph" w:customStyle="1" w:styleId="MDPI61Citation">
    <w:name w:val="MDPI_6.1_Citation"/>
    <w:qFormat/>
    <w:rsid w:val="00CA25FB"/>
    <w:pPr>
      <w:adjustRightInd w:val="0"/>
      <w:snapToGrid w:val="0"/>
      <w:spacing w:line="240" w:lineRule="atLeast"/>
      <w:ind w:right="113"/>
    </w:pPr>
    <w:rPr>
      <w:rFonts w:ascii="Palatino Linotype" w:eastAsia="SimSun" w:hAnsi="Palatino Linotype" w:cs="Cordia New"/>
      <w:kern w:val="0"/>
      <w:sz w:val="14"/>
      <w:szCs w:val="22"/>
      <w:lang w:eastAsia="zh-CN"/>
      <w14:ligatures w14:val="none"/>
    </w:rPr>
  </w:style>
  <w:style w:type="paragraph" w:customStyle="1" w:styleId="MDPI15academiceditor">
    <w:name w:val="MDPI_1.5_academic_editor"/>
    <w:qFormat/>
    <w:rsid w:val="00CA25FB"/>
    <w:pPr>
      <w:adjustRightInd w:val="0"/>
      <w:snapToGrid w:val="0"/>
      <w:spacing w:before="120" w:line="240" w:lineRule="atLeast"/>
      <w:ind w:right="113"/>
    </w:pPr>
    <w:rPr>
      <w:rFonts w:ascii="Palatino Linotype" w:eastAsia="Times New Roman" w:hAnsi="Palatino Linotype" w:cs="Times New Roman"/>
      <w:color w:val="000000"/>
      <w:kern w:val="0"/>
      <w:sz w:val="14"/>
      <w:szCs w:val="22"/>
      <w:lang w:eastAsia="de-DE" w:bidi="en-US"/>
      <w14:ligatures w14:val="none"/>
    </w:rPr>
  </w:style>
  <w:style w:type="paragraph" w:customStyle="1" w:styleId="MDPI72Copyright">
    <w:name w:val="MDPI_7.2_Copyright"/>
    <w:qFormat/>
    <w:rsid w:val="00CA25FB"/>
    <w:pPr>
      <w:adjustRightInd w:val="0"/>
      <w:snapToGrid w:val="0"/>
      <w:spacing w:before="6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35textbeforelist">
    <w:name w:val="MDPI_3.5_text_before_list"/>
    <w:qFormat/>
    <w:rsid w:val="00B56199"/>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7itemize">
    <w:name w:val="MDPI_3.7_itemize"/>
    <w:qFormat/>
    <w:rsid w:val="00B56199"/>
    <w:pPr>
      <w:numPr>
        <w:numId w:val="6"/>
      </w:numPr>
      <w:adjustRightInd w:val="0"/>
      <w:snapToGrid w:val="0"/>
      <w:spacing w:line="228" w:lineRule="auto"/>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38bullet">
    <w:name w:val="MDPI_3.8_bullet"/>
    <w:qFormat/>
    <w:rsid w:val="00B56199"/>
    <w:pPr>
      <w:numPr>
        <w:numId w:val="7"/>
      </w:numPr>
      <w:adjustRightInd w:val="0"/>
      <w:snapToGrid w:val="0"/>
      <w:spacing w:line="228" w:lineRule="auto"/>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41tablecaption">
    <w:name w:val="MDPI_4.1_table_caption"/>
    <w:qFormat/>
    <w:rsid w:val="00B56199"/>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42tablebody">
    <w:name w:val="MDPI_4.2_table_body"/>
    <w:qFormat/>
    <w:rsid w:val="00B56199"/>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43tablefooter">
    <w:name w:val="MDPI_4.3_table_footer"/>
    <w:next w:val="MDPI31text"/>
    <w:qFormat/>
    <w:rsid w:val="00B56199"/>
    <w:pPr>
      <w:adjustRightInd w:val="0"/>
      <w:snapToGrid w:val="0"/>
      <w:spacing w:line="228" w:lineRule="auto"/>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51figurecaption">
    <w:name w:val="MDPI_5.1_figure_caption"/>
    <w:qFormat/>
    <w:rsid w:val="00B56199"/>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52figure">
    <w:name w:val="MDPI_5.2_figure"/>
    <w:qFormat/>
    <w:rsid w:val="00B56199"/>
    <w:pPr>
      <w:adjustRightInd w:val="0"/>
      <w:snapToGrid w:val="0"/>
      <w:spacing w:before="240" w:after="120"/>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23heading3">
    <w:name w:val="MDPI_2.3_heading3"/>
    <w:qFormat/>
    <w:rsid w:val="00B56199"/>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2heading2">
    <w:name w:val="MDPI_2.2_heading2"/>
    <w:qFormat/>
    <w:rsid w:val="00B56199"/>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eastAsia="de-DE" w:bidi="en-US"/>
      <w14:ligatures w14:val="none"/>
    </w:rPr>
  </w:style>
  <w:style w:type="paragraph" w:customStyle="1" w:styleId="MDPI32textnoindent">
    <w:name w:val="MDPI_3.2_text_no_indent"/>
    <w:basedOn w:val="MDPI31text"/>
    <w:qFormat/>
    <w:rsid w:val="00B56199"/>
    <w:pPr>
      <w:ind w:firstLine="0"/>
    </w:pPr>
  </w:style>
  <w:style w:type="paragraph" w:customStyle="1" w:styleId="MDPI39equation">
    <w:name w:val="MDPI_3.9_equation"/>
    <w:qFormat/>
    <w:rsid w:val="00B56199"/>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aequationnumber">
    <w:name w:val="MDPI_3.a_equation_number"/>
    <w:qFormat/>
    <w:rsid w:val="00B56199"/>
    <w:pPr>
      <w:spacing w:before="120" w:after="120"/>
      <w:jc w:val="right"/>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81theorem">
    <w:name w:val="MDPI_8.1_theorem"/>
    <w:qFormat/>
    <w:rsid w:val="00B56199"/>
    <w:pPr>
      <w:adjustRightInd w:val="0"/>
      <w:snapToGrid w:val="0"/>
      <w:spacing w:line="228" w:lineRule="auto"/>
      <w:ind w:left="2608"/>
      <w:jc w:val="both"/>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62BackMatter">
    <w:name w:val="MDPI_6.2_BackMatter"/>
    <w:qFormat/>
    <w:rsid w:val="0038036B"/>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bidi="en-US"/>
      <w14:ligatures w14:val="none"/>
    </w:rPr>
  </w:style>
  <w:style w:type="paragraph" w:customStyle="1" w:styleId="MDPI82proof">
    <w:name w:val="MDPI_8.2_proof"/>
    <w:qFormat/>
    <w:rsid w:val="0068698C"/>
    <w:pPr>
      <w:adjustRightInd w:val="0"/>
      <w:snapToGrid w:val="0"/>
      <w:spacing w:line="228" w:lineRule="auto"/>
      <w:ind w:left="2608"/>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styleId="NoSpacing">
    <w:name w:val="No Spacing"/>
    <w:uiPriority w:val="1"/>
    <w:qFormat/>
    <w:rsid w:val="0068698C"/>
    <w:rPr>
      <w:rFonts w:eastAsiaTheme="minorEastAsia"/>
      <w:kern w:val="0"/>
      <w:sz w:val="22"/>
      <w:szCs w:val="22"/>
      <w:lang w:eastAsia="zh-CN"/>
      <w14:ligatures w14:val="none"/>
    </w:rPr>
  </w:style>
  <w:style w:type="paragraph" w:customStyle="1" w:styleId="MDPI71References">
    <w:name w:val="MDPI_7.1_References"/>
    <w:qFormat/>
    <w:rsid w:val="00F715DE"/>
    <w:pPr>
      <w:numPr>
        <w:numId w:val="4"/>
      </w:numPr>
      <w:adjustRightInd w:val="0"/>
      <w:snapToGrid w:val="0"/>
      <w:spacing w:line="228" w:lineRule="auto"/>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63Notes">
    <w:name w:val="MDPI_6.3_Notes"/>
    <w:qFormat/>
    <w:rsid w:val="00F715DE"/>
    <w:pPr>
      <w:adjustRightInd w:val="0"/>
      <w:snapToGrid w:val="0"/>
      <w:spacing w:before="240" w:line="228" w:lineRule="auto"/>
      <w:jc w:val="both"/>
    </w:pPr>
    <w:rPr>
      <w:rFonts w:ascii="Palatino Linotype" w:eastAsia="SimSun" w:hAnsi="Palatino Linotype" w:cs="Times New Roman"/>
      <w:snapToGrid w:val="0"/>
      <w:color w:val="000000"/>
      <w:kern w:val="0"/>
      <w:sz w:val="18"/>
      <w:szCs w:val="20"/>
      <w:lang w:bidi="en-US"/>
      <w14:ligatures w14:val="none"/>
    </w:rPr>
  </w:style>
  <w:style w:type="character" w:styleId="FollowedHyperlink">
    <w:name w:val="FollowedHyperlink"/>
    <w:basedOn w:val="DefaultParagraphFont"/>
    <w:uiPriority w:val="99"/>
    <w:semiHidden/>
    <w:unhideWhenUsed/>
    <w:rsid w:val="00D13FEE"/>
    <w:rPr>
      <w:color w:val="954F72" w:themeColor="followedHyperlink"/>
      <w:u w:val="single"/>
    </w:rPr>
  </w:style>
  <w:style w:type="table" w:styleId="GridTable1Light">
    <w:name w:val="Grid Table 1 Light"/>
    <w:basedOn w:val="TableNormal"/>
    <w:uiPriority w:val="46"/>
    <w:rsid w:val="00043D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057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7580"/>
    <w:rPr>
      <w:sz w:val="16"/>
      <w:szCs w:val="16"/>
    </w:rPr>
  </w:style>
  <w:style w:type="paragraph" w:styleId="ListParagraph">
    <w:name w:val="List Paragraph"/>
    <w:basedOn w:val="Normal"/>
    <w:uiPriority w:val="34"/>
    <w:qFormat/>
    <w:rsid w:val="00A86269"/>
    <w:pPr>
      <w:spacing w:line="240" w:lineRule="auto"/>
      <w:ind w:left="720"/>
      <w:contextualSpacing/>
      <w:jc w:val="left"/>
    </w:pPr>
    <w:rPr>
      <w:rFonts w:asciiTheme="minorHAnsi" w:eastAsiaTheme="minorHAnsi" w:hAnsiTheme="minorHAnsi" w:cstheme="minorBidi"/>
      <w:color w:val="auto"/>
      <w:kern w:val="2"/>
      <w:sz w:val="24"/>
      <w:szCs w:val="24"/>
      <w:lang w:eastAsia="en-US"/>
      <w14:ligatures w14:val="standardContextual"/>
    </w:rPr>
  </w:style>
  <w:style w:type="paragraph" w:styleId="CommentText">
    <w:name w:val="annotation text"/>
    <w:basedOn w:val="Normal"/>
    <w:link w:val="CommentTextChar"/>
    <w:uiPriority w:val="99"/>
    <w:semiHidden/>
    <w:unhideWhenUsed/>
    <w:rsid w:val="001C2835"/>
    <w:pPr>
      <w:spacing w:line="240" w:lineRule="auto"/>
    </w:pPr>
  </w:style>
  <w:style w:type="character" w:customStyle="1" w:styleId="CommentTextChar">
    <w:name w:val="Comment Text Char"/>
    <w:basedOn w:val="DefaultParagraphFont"/>
    <w:link w:val="CommentText"/>
    <w:uiPriority w:val="99"/>
    <w:semiHidden/>
    <w:rsid w:val="001C2835"/>
    <w:rPr>
      <w:rFonts w:ascii="Palatino Linotype" w:eastAsia="SimSun" w:hAnsi="Palatino Linotype" w:cs="Times New Roman"/>
      <w:color w:val="000000"/>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1C2835"/>
    <w:rPr>
      <w:b/>
      <w:bCs/>
    </w:rPr>
  </w:style>
  <w:style w:type="character" w:customStyle="1" w:styleId="CommentSubjectChar">
    <w:name w:val="Comment Subject Char"/>
    <w:basedOn w:val="CommentTextChar"/>
    <w:link w:val="CommentSubject"/>
    <w:uiPriority w:val="99"/>
    <w:semiHidden/>
    <w:rsid w:val="001C2835"/>
    <w:rPr>
      <w:rFonts w:ascii="Palatino Linotype" w:eastAsia="SimSun" w:hAnsi="Palatino Linotype" w:cs="Times New Roman"/>
      <w:b/>
      <w:bCs/>
      <w:color w:val="000000"/>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ellana24@stu.psm.edu" TargetMode="External"/><Relationship Id="rId13" Type="http://schemas.openxmlformats.org/officeDocument/2006/relationships/hyperlink" Target="https://www.who.int/news-room/fact-sheets/detail/ionizing-radiation-and-health-effect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da.gov/radiation-emitting-products/medical-imaging/pediatric-x-ray-imagin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radiation-health/safety/alara.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rc.gov/about-nrc/radiation/around-us/doses-daily-live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rp.nih.gov/catalyst/30/5/from-the-annals-of-nih-history" TargetMode="External"/><Relationship Id="rId14" Type="http://schemas.openxmlformats.org/officeDocument/2006/relationships/hyperlink" Target="https://icrpaedia.org/Dose_limi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3795</Words>
  <Characters>21073</Characters>
  <Application>Microsoft Office Word</Application>
  <DocSecurity>0</DocSecurity>
  <Lines>375</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2026-02-12T18:08:00Z</dcterms:created>
  <dcterms:modified xsi:type="dcterms:W3CDTF">2026-02-12T18:24:00Z</dcterms:modified>
</cp:coreProperties>
</file>